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45"/>
        <w:gridCol w:w="2318"/>
      </w:tblGrid>
      <w:tr w:rsidR="006536DB" w:rsidTr="006536DB">
        <w:tc>
          <w:tcPr>
            <w:tcW w:w="6745" w:type="dxa"/>
          </w:tcPr>
          <w:p w:rsidR="006536DB" w:rsidRDefault="006536DB" w:rsidP="00400540">
            <w:pPr>
              <w:snapToGrid w:val="0"/>
              <w:spacing w:after="0" w:line="360" w:lineRule="auto"/>
              <w:rPr>
                <w:rFonts w:ascii="Arial" w:eastAsia="Batang" w:hAnsi="Arial" w:cs="Arial"/>
                <w:b/>
                <w:bCs/>
                <w:snapToGrid w:val="0"/>
                <w:sz w:val="24"/>
                <w:szCs w:val="24"/>
                <w:lang w:val="en-US"/>
              </w:rPr>
            </w:pPr>
            <w:r w:rsidRPr="00331E55">
              <w:rPr>
                <w:rFonts w:ascii="Arial" w:eastAsia="Batang" w:hAnsi="Arial" w:cs="Arial"/>
                <w:b/>
                <w:bCs/>
                <w:snapToGrid w:val="0"/>
                <w:sz w:val="24"/>
                <w:szCs w:val="24"/>
                <w:lang w:val="en-US"/>
              </w:rPr>
              <w:t>3GPP TSG RAN WG1 Meeting #94</w:t>
            </w:r>
            <w:r>
              <w:rPr>
                <w:rFonts w:ascii="Arial" w:eastAsia="Batang" w:hAnsi="Arial" w:cs="Arial"/>
                <w:b/>
                <w:bCs/>
                <w:snapToGrid w:val="0"/>
                <w:sz w:val="24"/>
                <w:szCs w:val="24"/>
                <w:lang w:val="en-US"/>
              </w:rPr>
              <w:t>bis</w:t>
            </w:r>
          </w:p>
        </w:tc>
        <w:tc>
          <w:tcPr>
            <w:tcW w:w="2318" w:type="dxa"/>
          </w:tcPr>
          <w:p w:rsidR="006536DB" w:rsidRDefault="006536DB" w:rsidP="006536DB">
            <w:pPr>
              <w:snapToGrid w:val="0"/>
              <w:spacing w:after="0" w:line="360" w:lineRule="auto"/>
              <w:jc w:val="right"/>
              <w:rPr>
                <w:rFonts w:ascii="Arial" w:eastAsia="Batang" w:hAnsi="Arial" w:cs="Arial"/>
                <w:b/>
                <w:bCs/>
                <w:snapToGrid w:val="0"/>
                <w:sz w:val="24"/>
                <w:szCs w:val="24"/>
                <w:lang w:val="en-US"/>
              </w:rPr>
            </w:pPr>
            <w:r>
              <w:rPr>
                <w:rFonts w:ascii="Arial" w:eastAsia="Batang" w:hAnsi="Arial" w:cs="Arial"/>
                <w:b/>
                <w:bCs/>
                <w:snapToGrid w:val="0"/>
                <w:sz w:val="24"/>
                <w:szCs w:val="24"/>
                <w:lang w:val="en-US"/>
              </w:rPr>
              <w:t>draft_</w:t>
            </w:r>
            <w:r w:rsidR="00D91B26" w:rsidRPr="00D91B26">
              <w:rPr>
                <w:rFonts w:ascii="Arial" w:eastAsia="Batang" w:hAnsi="Arial" w:cs="Arial"/>
                <w:b/>
                <w:bCs/>
                <w:snapToGrid w:val="0"/>
                <w:sz w:val="24"/>
                <w:szCs w:val="24"/>
                <w:lang w:val="en-US"/>
              </w:rPr>
              <w:t xml:space="preserve"> R1-1811621</w:t>
            </w:r>
            <w:bookmarkStart w:id="0" w:name="_GoBack"/>
            <w:bookmarkEnd w:id="0"/>
          </w:p>
        </w:tc>
      </w:tr>
      <w:tr w:rsidR="006536DB" w:rsidTr="006536DB">
        <w:tc>
          <w:tcPr>
            <w:tcW w:w="6745" w:type="dxa"/>
          </w:tcPr>
          <w:p w:rsidR="006536DB" w:rsidRPr="00331E55" w:rsidRDefault="006536DB" w:rsidP="00400540">
            <w:pPr>
              <w:snapToGrid w:val="0"/>
              <w:spacing w:after="0" w:line="360" w:lineRule="auto"/>
              <w:rPr>
                <w:rFonts w:ascii="Arial" w:eastAsia="Batang" w:hAnsi="Arial" w:cs="Arial"/>
                <w:b/>
                <w:bCs/>
                <w:snapToGrid w:val="0"/>
                <w:sz w:val="24"/>
                <w:szCs w:val="24"/>
                <w:lang w:val="en-US"/>
              </w:rPr>
            </w:pPr>
            <w:r>
              <w:rPr>
                <w:rFonts w:ascii="Arial" w:eastAsia="Batang" w:hAnsi="Arial" w:cs="Arial"/>
                <w:b/>
                <w:bCs/>
                <w:snapToGrid w:val="0"/>
                <w:sz w:val="24"/>
                <w:lang w:val="en-US"/>
              </w:rPr>
              <w:t>Chengdu</w:t>
            </w:r>
            <w:r w:rsidRPr="00331E55">
              <w:rPr>
                <w:rFonts w:ascii="Arial" w:eastAsia="Batang" w:hAnsi="Arial" w:cs="Arial"/>
                <w:b/>
                <w:bCs/>
                <w:snapToGrid w:val="0"/>
                <w:sz w:val="24"/>
                <w:lang w:val="en-US"/>
              </w:rPr>
              <w:t xml:space="preserve">, </w:t>
            </w:r>
            <w:r>
              <w:rPr>
                <w:rFonts w:ascii="Arial" w:eastAsia="Batang" w:hAnsi="Arial" w:cs="Arial"/>
                <w:b/>
                <w:bCs/>
                <w:snapToGrid w:val="0"/>
                <w:sz w:val="24"/>
                <w:lang w:val="en-US"/>
              </w:rPr>
              <w:t>China</w:t>
            </w:r>
            <w:r w:rsidRPr="00331E55">
              <w:rPr>
                <w:rFonts w:ascii="Arial" w:eastAsia="Batang" w:hAnsi="Arial" w:cs="Arial"/>
                <w:b/>
                <w:bCs/>
                <w:snapToGrid w:val="0"/>
                <w:sz w:val="24"/>
                <w:lang w:val="en-US"/>
              </w:rPr>
              <w:t xml:space="preserve">, </w:t>
            </w:r>
            <w:r>
              <w:rPr>
                <w:rFonts w:ascii="Arial" w:eastAsia="Batang" w:hAnsi="Arial" w:cs="Arial"/>
                <w:b/>
                <w:bCs/>
                <w:snapToGrid w:val="0"/>
                <w:sz w:val="24"/>
                <w:lang w:val="en-US"/>
              </w:rPr>
              <w:t>08</w:t>
            </w:r>
            <w:r w:rsidRPr="00331E55">
              <w:rPr>
                <w:rFonts w:ascii="Arial" w:eastAsia="Batang" w:hAnsi="Arial" w:cs="Arial"/>
                <w:b/>
                <w:bCs/>
                <w:snapToGrid w:val="0"/>
                <w:sz w:val="24"/>
                <w:vertAlign w:val="superscript"/>
                <w:lang w:val="en-US"/>
              </w:rPr>
              <w:t>th</w:t>
            </w:r>
            <w:r w:rsidRPr="00331E55">
              <w:rPr>
                <w:rFonts w:ascii="Arial" w:eastAsia="Batang" w:hAnsi="Arial" w:cs="Arial"/>
                <w:b/>
                <w:bCs/>
                <w:snapToGrid w:val="0"/>
                <w:sz w:val="24"/>
                <w:lang w:val="en-US"/>
              </w:rPr>
              <w:t xml:space="preserve"> – </w:t>
            </w:r>
            <w:r>
              <w:rPr>
                <w:rFonts w:ascii="Arial" w:eastAsia="Batang" w:hAnsi="Arial" w:cs="Arial"/>
                <w:b/>
                <w:bCs/>
                <w:snapToGrid w:val="0"/>
                <w:sz w:val="24"/>
                <w:lang w:val="en-US"/>
              </w:rPr>
              <w:t>12</w:t>
            </w:r>
            <w:r w:rsidRPr="00331E55">
              <w:rPr>
                <w:rFonts w:ascii="Arial" w:eastAsia="Batang" w:hAnsi="Arial" w:cs="Arial"/>
                <w:b/>
                <w:bCs/>
                <w:snapToGrid w:val="0"/>
                <w:sz w:val="24"/>
                <w:vertAlign w:val="superscript"/>
                <w:lang w:val="en-US"/>
              </w:rPr>
              <w:t>th</w:t>
            </w:r>
            <w:r w:rsidRPr="00331E55">
              <w:rPr>
                <w:rFonts w:ascii="Arial" w:eastAsia="Batang" w:hAnsi="Arial" w:cs="Arial"/>
                <w:b/>
                <w:bCs/>
                <w:snapToGrid w:val="0"/>
                <w:sz w:val="24"/>
                <w:lang w:val="en-US"/>
              </w:rPr>
              <w:t xml:space="preserve"> </w:t>
            </w:r>
            <w:r>
              <w:rPr>
                <w:rFonts w:ascii="Arial" w:eastAsia="Batang" w:hAnsi="Arial" w:cs="Arial"/>
                <w:b/>
                <w:bCs/>
                <w:snapToGrid w:val="0"/>
                <w:sz w:val="24"/>
                <w:lang w:val="en-US"/>
              </w:rPr>
              <w:t>October</w:t>
            </w:r>
            <w:r w:rsidRPr="00331E55">
              <w:rPr>
                <w:rFonts w:ascii="Arial" w:eastAsia="Batang" w:hAnsi="Arial" w:cs="Arial"/>
                <w:b/>
                <w:bCs/>
                <w:snapToGrid w:val="0"/>
                <w:sz w:val="24"/>
                <w:lang w:val="en-US"/>
              </w:rPr>
              <w:t xml:space="preserve"> 2018</w:t>
            </w:r>
          </w:p>
        </w:tc>
        <w:tc>
          <w:tcPr>
            <w:tcW w:w="2318" w:type="dxa"/>
          </w:tcPr>
          <w:p w:rsidR="006536DB" w:rsidRDefault="006536DB" w:rsidP="006536DB">
            <w:pPr>
              <w:snapToGrid w:val="0"/>
              <w:spacing w:after="0" w:line="360" w:lineRule="auto"/>
              <w:jc w:val="right"/>
              <w:rPr>
                <w:rFonts w:ascii="Arial" w:eastAsia="Batang" w:hAnsi="Arial" w:cs="Arial"/>
                <w:b/>
                <w:bCs/>
                <w:snapToGrid w:val="0"/>
                <w:sz w:val="24"/>
                <w:szCs w:val="24"/>
                <w:lang w:val="en-US"/>
              </w:rPr>
            </w:pPr>
          </w:p>
        </w:tc>
      </w:tr>
    </w:tbl>
    <w:p w:rsidR="00400540" w:rsidRPr="00331E55" w:rsidRDefault="00400540" w:rsidP="00400540">
      <w:pPr>
        <w:pBdr>
          <w:bottom w:val="single" w:sz="12" w:space="1" w:color="auto"/>
        </w:pBdr>
        <w:tabs>
          <w:tab w:val="left" w:pos="1701"/>
          <w:tab w:val="right" w:pos="9072"/>
          <w:tab w:val="right" w:pos="10206"/>
        </w:tabs>
        <w:autoSpaceDE/>
        <w:autoSpaceDN/>
        <w:spacing w:after="0"/>
        <w:ind w:left="1440" w:hanging="1440"/>
        <w:rPr>
          <w:rFonts w:ascii="Arial" w:eastAsia="Batang" w:hAnsi="Arial"/>
          <w:b/>
          <w:sz w:val="22"/>
          <w:lang w:val="en-US"/>
        </w:rPr>
      </w:pPr>
    </w:p>
    <w:p w:rsidR="00400540" w:rsidRPr="00331E55" w:rsidRDefault="00400540" w:rsidP="00400540">
      <w:pPr>
        <w:tabs>
          <w:tab w:val="left" w:pos="1843"/>
        </w:tabs>
        <w:snapToGrid w:val="0"/>
        <w:spacing w:after="0" w:line="360" w:lineRule="auto"/>
        <w:rPr>
          <w:rFonts w:ascii="Arial" w:eastAsia="Batang" w:hAnsi="Arial" w:cs="Arial"/>
          <w:b/>
          <w:snapToGrid w:val="0"/>
          <w:sz w:val="24"/>
          <w:szCs w:val="24"/>
          <w:lang w:val="en-US"/>
        </w:rPr>
      </w:pPr>
    </w:p>
    <w:p w:rsidR="00E75306" w:rsidRPr="00331E55"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Agenda item:</w:t>
      </w:r>
      <w:r w:rsidRPr="00331E55">
        <w:rPr>
          <w:rFonts w:ascii="Arial" w:eastAsia="Batang" w:hAnsi="Arial" w:cs="Arial"/>
          <w:b/>
          <w:snapToGrid w:val="0"/>
          <w:sz w:val="24"/>
          <w:szCs w:val="24"/>
          <w:lang w:val="en-US"/>
        </w:rPr>
        <w:tab/>
      </w:r>
      <w:r w:rsidR="00CE326B">
        <w:rPr>
          <w:rFonts w:ascii="Arial" w:eastAsia="Batang" w:hAnsi="Arial" w:cs="Arial"/>
          <w:b/>
          <w:snapToGrid w:val="0"/>
          <w:sz w:val="24"/>
          <w:szCs w:val="24"/>
          <w:lang w:val="en-US"/>
        </w:rPr>
        <w:t>6.2.</w:t>
      </w:r>
      <w:r w:rsidR="00B70D8A">
        <w:rPr>
          <w:rFonts w:ascii="Arial" w:eastAsia="Batang" w:hAnsi="Arial" w:cs="Arial"/>
          <w:b/>
          <w:snapToGrid w:val="0"/>
          <w:sz w:val="24"/>
          <w:szCs w:val="24"/>
          <w:lang w:val="en-US"/>
        </w:rPr>
        <w:t>1</w:t>
      </w:r>
      <w:r w:rsidR="00CE326B">
        <w:rPr>
          <w:rFonts w:ascii="Arial" w:eastAsia="Batang" w:hAnsi="Arial" w:cs="Arial"/>
          <w:b/>
          <w:snapToGrid w:val="0"/>
          <w:sz w:val="24"/>
          <w:szCs w:val="24"/>
          <w:lang w:val="en-US"/>
        </w:rPr>
        <w:t>.1</w:t>
      </w:r>
      <w:r w:rsidR="00E75306" w:rsidRPr="00331E55">
        <w:rPr>
          <w:rFonts w:ascii="Arial" w:eastAsia="Batang" w:hAnsi="Arial" w:cs="Arial"/>
          <w:b/>
          <w:snapToGrid w:val="0"/>
          <w:sz w:val="24"/>
          <w:szCs w:val="24"/>
          <w:lang w:val="en-US"/>
        </w:rPr>
        <w:t xml:space="preserve">  </w:t>
      </w:r>
    </w:p>
    <w:p w:rsidR="00513B71" w:rsidRPr="00331E55"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 xml:space="preserve">Source: </w:t>
      </w:r>
      <w:r w:rsidRPr="00331E55">
        <w:rPr>
          <w:rFonts w:ascii="Arial" w:eastAsia="Batang" w:hAnsi="Arial" w:cs="Arial"/>
          <w:b/>
          <w:snapToGrid w:val="0"/>
          <w:sz w:val="24"/>
          <w:szCs w:val="24"/>
          <w:lang w:val="en-US"/>
        </w:rPr>
        <w:tab/>
      </w:r>
      <w:r w:rsidR="00810A11" w:rsidRPr="00331E55">
        <w:rPr>
          <w:rFonts w:ascii="Arial" w:eastAsia="Batang" w:hAnsi="Arial" w:cs="Arial"/>
          <w:b/>
          <w:snapToGrid w:val="0"/>
          <w:sz w:val="24"/>
          <w:szCs w:val="24"/>
          <w:lang w:val="en-US"/>
        </w:rPr>
        <w:t>Fraunhofer IIS</w:t>
      </w:r>
      <w:r w:rsidR="003457E6">
        <w:rPr>
          <w:rFonts w:ascii="Arial" w:eastAsia="Batang" w:hAnsi="Arial" w:cs="Arial"/>
          <w:b/>
          <w:snapToGrid w:val="0"/>
          <w:sz w:val="24"/>
          <w:szCs w:val="24"/>
          <w:lang w:val="en-US"/>
        </w:rPr>
        <w:t>, Fraunhofer HHI</w:t>
      </w:r>
    </w:p>
    <w:p w:rsidR="00513B71" w:rsidRPr="00331E55"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 xml:space="preserve">Title: </w:t>
      </w:r>
      <w:r w:rsidRPr="00331E55">
        <w:rPr>
          <w:rFonts w:ascii="Arial" w:eastAsia="Batang" w:hAnsi="Arial" w:cs="Arial"/>
          <w:b/>
          <w:snapToGrid w:val="0"/>
          <w:sz w:val="24"/>
          <w:szCs w:val="24"/>
          <w:lang w:val="en-US"/>
        </w:rPr>
        <w:tab/>
      </w:r>
      <w:r w:rsidR="00CE326B">
        <w:rPr>
          <w:rFonts w:ascii="Arial" w:eastAsia="Batang" w:hAnsi="Arial" w:cs="Arial"/>
          <w:b/>
          <w:snapToGrid w:val="0"/>
          <w:sz w:val="24"/>
          <w:szCs w:val="24"/>
          <w:lang w:val="en-US"/>
        </w:rPr>
        <w:t xml:space="preserve">Group Wake-Up Signal for </w:t>
      </w:r>
      <w:r w:rsidR="00B85EBA">
        <w:rPr>
          <w:rFonts w:ascii="Arial" w:eastAsia="Batang" w:hAnsi="Arial" w:cs="Arial"/>
          <w:b/>
          <w:snapToGrid w:val="0"/>
          <w:sz w:val="24"/>
          <w:szCs w:val="24"/>
          <w:lang w:val="en-US"/>
        </w:rPr>
        <w:t>MTC</w:t>
      </w:r>
    </w:p>
    <w:p w:rsidR="00513B71" w:rsidRPr="00331E55" w:rsidRDefault="00EA06DD"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Document for:</w:t>
      </w:r>
      <w:r w:rsidR="003457E6">
        <w:rPr>
          <w:rFonts w:ascii="Arial" w:eastAsia="Batang" w:hAnsi="Arial" w:cs="Arial"/>
          <w:b/>
          <w:snapToGrid w:val="0"/>
          <w:sz w:val="24"/>
          <w:szCs w:val="24"/>
          <w:lang w:val="en-US"/>
        </w:rPr>
        <w:tab/>
      </w:r>
      <w:r w:rsidR="00CE326B">
        <w:rPr>
          <w:rFonts w:ascii="Arial" w:eastAsia="Batang" w:hAnsi="Arial" w:cs="Arial"/>
          <w:b/>
          <w:snapToGrid w:val="0"/>
          <w:sz w:val="24"/>
          <w:szCs w:val="24"/>
          <w:lang w:val="en-US"/>
        </w:rPr>
        <w:t>Discussion</w:t>
      </w:r>
    </w:p>
    <w:p w:rsidR="00513B71" w:rsidRPr="00331E55" w:rsidRDefault="00513B71" w:rsidP="00AA384B">
      <w:pPr>
        <w:pStyle w:val="Heading1"/>
        <w:rPr>
          <w:rFonts w:eastAsia="Batang"/>
          <w:snapToGrid w:val="0"/>
          <w:lang w:val="en-US"/>
        </w:rPr>
      </w:pPr>
      <w:r w:rsidRPr="00331E55">
        <w:rPr>
          <w:rFonts w:eastAsia="Batang"/>
          <w:snapToGrid w:val="0"/>
          <w:lang w:val="en-US"/>
        </w:rPr>
        <w:t>Introduction</w:t>
      </w:r>
    </w:p>
    <w:p w:rsidR="008B4778" w:rsidRPr="008B4778" w:rsidRDefault="008B4778" w:rsidP="008B4778">
      <w:pPr>
        <w:jc w:val="both"/>
        <w:rPr>
          <w:rFonts w:eastAsia="Batang"/>
          <w:lang w:val="en-US" w:eastAsia="de-DE"/>
        </w:rPr>
      </w:pPr>
      <w:r w:rsidRPr="008B4778">
        <w:rPr>
          <w:rFonts w:eastAsia="Batang"/>
          <w:lang w:val="en-US" w:eastAsia="de-DE"/>
        </w:rPr>
        <w:t>At the RAN plenary #80, a new Work Item (WI) on “</w:t>
      </w:r>
      <w:r w:rsidR="00B85EBA">
        <w:rPr>
          <w:rFonts w:eastAsia="Batang"/>
          <w:lang w:val="en-US" w:eastAsia="de-DE"/>
        </w:rPr>
        <w:t>Additional</w:t>
      </w:r>
      <w:r w:rsidRPr="008B4778">
        <w:rPr>
          <w:rFonts w:eastAsia="Batang"/>
          <w:lang w:val="en-US" w:eastAsia="de-DE"/>
        </w:rPr>
        <w:t xml:space="preserve"> </w:t>
      </w:r>
      <w:r w:rsidR="00B85EBA">
        <w:rPr>
          <w:rFonts w:eastAsia="Batang"/>
          <w:lang w:val="en-US" w:eastAsia="de-DE"/>
        </w:rPr>
        <w:t>MTC enhancements</w:t>
      </w:r>
      <w:r w:rsidRPr="008B4778">
        <w:rPr>
          <w:rFonts w:eastAsia="Batang"/>
          <w:lang w:val="en-US" w:eastAsia="de-DE"/>
        </w:rPr>
        <w:t>” was approved</w:t>
      </w:r>
      <w:r w:rsidR="00B85EBA">
        <w:rPr>
          <w:rFonts w:eastAsia="Batang"/>
          <w:lang w:val="en-US" w:eastAsia="de-DE"/>
        </w:rPr>
        <w:t xml:space="preserve"> and revised in RAN#81</w:t>
      </w:r>
      <w:r w:rsidR="00F30AA8">
        <w:rPr>
          <w:rFonts w:eastAsia="Batang"/>
          <w:noProof/>
          <w:lang w:val="en-US" w:eastAsia="de-DE"/>
        </w:rPr>
        <w:t xml:space="preserve"> </w:t>
      </w:r>
      <w:sdt>
        <w:sdtPr>
          <w:rPr>
            <w:rFonts w:eastAsia="Batang"/>
            <w:noProof/>
            <w:lang w:val="en-US" w:eastAsia="de-DE"/>
          </w:rPr>
          <w:id w:val="1064289527"/>
          <w:citation/>
        </w:sdtPr>
        <w:sdtContent>
          <w:r w:rsidR="006C620C">
            <w:rPr>
              <w:rFonts w:eastAsia="Batang"/>
              <w:noProof/>
              <w:lang w:val="en-US" w:eastAsia="de-DE"/>
            </w:rPr>
            <w:fldChar w:fldCharType="begin"/>
          </w:r>
          <w:r w:rsidR="00B85EBA">
            <w:rPr>
              <w:rFonts w:eastAsia="Batang"/>
              <w:noProof/>
              <w:lang w:val="en-US" w:eastAsia="de-DE"/>
            </w:rPr>
            <w:instrText xml:space="preserve">CITATION RP181674 \l 1033 </w:instrText>
          </w:r>
          <w:r w:rsidR="006C620C">
            <w:rPr>
              <w:rFonts w:eastAsia="Batang"/>
              <w:noProof/>
              <w:lang w:val="en-US" w:eastAsia="de-DE"/>
            </w:rPr>
            <w:fldChar w:fldCharType="separate"/>
          </w:r>
          <w:r w:rsidR="00D91B26" w:rsidRPr="00D91B26">
            <w:rPr>
              <w:rFonts w:eastAsia="Batang"/>
              <w:noProof/>
              <w:lang w:val="en-US" w:eastAsia="de-DE"/>
            </w:rPr>
            <w:t>[1]</w:t>
          </w:r>
          <w:r w:rsidR="006C620C">
            <w:rPr>
              <w:rFonts w:eastAsia="Batang"/>
              <w:noProof/>
              <w:lang w:val="en-US" w:eastAsia="de-DE"/>
            </w:rPr>
            <w:fldChar w:fldCharType="end"/>
          </w:r>
        </w:sdtContent>
      </w:sdt>
      <w:r w:rsidR="006C620C">
        <w:rPr>
          <w:rFonts w:eastAsia="Batang"/>
          <w:noProof/>
          <w:lang w:val="en-US" w:eastAsia="de-DE"/>
        </w:rPr>
        <w:t xml:space="preserve">. </w:t>
      </w:r>
      <w:r w:rsidRPr="008B4778">
        <w:rPr>
          <w:rFonts w:eastAsia="Batang"/>
          <w:lang w:val="en-US" w:eastAsia="de-DE"/>
        </w:rPr>
        <w:t xml:space="preserve">The WID states that one objective is to specify the following improvement for machine-type communications for </w:t>
      </w:r>
      <w:r w:rsidR="00B85EBA">
        <w:rPr>
          <w:rFonts w:eastAsia="Batang"/>
          <w:lang w:val="en-US" w:eastAsia="de-DE"/>
        </w:rPr>
        <w:t>BL/CE UEs</w:t>
      </w:r>
      <w:r w:rsidRPr="008B4778">
        <w:rPr>
          <w:rFonts w:eastAsia="Batang"/>
          <w:lang w:val="en-US" w:eastAsia="de-DE"/>
        </w:rPr>
        <w:t>:</w:t>
      </w:r>
    </w:p>
    <w:p w:rsidR="008B4778" w:rsidRPr="008B4778" w:rsidRDefault="008B4778" w:rsidP="008B4778">
      <w:pPr>
        <w:jc w:val="both"/>
        <w:rPr>
          <w:rFonts w:eastAsia="Batang"/>
          <w:lang w:val="en-US" w:eastAsia="de-DE"/>
        </w:rPr>
      </w:pPr>
      <w:r w:rsidRPr="008B4778">
        <w:rPr>
          <w:rFonts w:eastAsia="Batang"/>
          <w:lang w:val="en-US" w:eastAsia="de-DE"/>
        </w:rPr>
        <w:t>Improved DL transmission efficiency and/or UE power consumption:</w:t>
      </w:r>
    </w:p>
    <w:p w:rsidR="008B4778" w:rsidRDefault="008B4778" w:rsidP="008B4778">
      <w:pPr>
        <w:jc w:val="both"/>
        <w:rPr>
          <w:rFonts w:eastAsia="Batang"/>
          <w:lang w:val="en-US" w:eastAsia="de-DE"/>
        </w:rPr>
      </w:pPr>
      <w:r w:rsidRPr="008B4778">
        <w:rPr>
          <w:rFonts w:eastAsia="Batang"/>
          <w:lang w:val="en-US" w:eastAsia="de-DE"/>
        </w:rPr>
        <w:t>•</w:t>
      </w:r>
      <w:r w:rsidRPr="008B4778">
        <w:rPr>
          <w:rFonts w:eastAsia="Batang"/>
          <w:lang w:val="en-US" w:eastAsia="de-DE"/>
        </w:rPr>
        <w:tab/>
        <w:t>Specify support for UE-group wake-up signal (WUS) [RAN1, RAN2, RAN4]</w:t>
      </w:r>
    </w:p>
    <w:p w:rsidR="00B84DB6" w:rsidRDefault="00B84DB6" w:rsidP="00B84DB6">
      <w:pPr>
        <w:jc w:val="both"/>
        <w:rPr>
          <w:bCs/>
          <w:lang w:val="en-US" w:eastAsia="zh-TW"/>
        </w:rPr>
      </w:pPr>
      <w:r w:rsidRPr="00CB1616">
        <w:rPr>
          <w:bCs/>
          <w:lang w:val="en-US" w:eastAsia="zh-TW"/>
        </w:rPr>
        <w:t xml:space="preserve">In </w:t>
      </w:r>
      <w:r>
        <w:rPr>
          <w:bCs/>
          <w:lang w:val="en-US" w:eastAsia="zh-TW"/>
        </w:rPr>
        <w:t>RAN1#94, the following agreements were made on specific sup</w:t>
      </w:r>
      <w:r>
        <w:rPr>
          <w:bCs/>
          <w:lang w:val="en-US" w:eastAsia="zh-TW"/>
        </w:rPr>
        <w:t>port of UE-group Wake Up Signal</w:t>
      </w:r>
      <w:r w:rsidR="00D91B26">
        <w:rPr>
          <w:bCs/>
          <w:lang w:val="en-US" w:eastAsia="zh-TW"/>
        </w:rPr>
        <w:t xml:space="preserve"> </w:t>
      </w:r>
      <w:sdt>
        <w:sdtPr>
          <w:rPr>
            <w:bCs/>
            <w:lang w:val="en-US" w:eastAsia="zh-TW"/>
          </w:rPr>
          <w:id w:val="54672088"/>
          <w:citation/>
        </w:sdtPr>
        <w:sdtContent>
          <w:r w:rsidR="00D91B26">
            <w:rPr>
              <w:bCs/>
              <w:lang w:val="en-US" w:eastAsia="zh-TW"/>
            </w:rPr>
            <w:fldChar w:fldCharType="begin"/>
          </w:r>
          <w:r w:rsidR="00D91B26">
            <w:rPr>
              <w:bCs/>
              <w:lang w:val="en-US" w:eastAsia="zh-TW"/>
            </w:rPr>
            <w:instrText xml:space="preserve"> CITATION RP181873 \l 1033 </w:instrText>
          </w:r>
          <w:r w:rsidR="00D91B26">
            <w:rPr>
              <w:bCs/>
              <w:lang w:val="en-US" w:eastAsia="zh-TW"/>
            </w:rPr>
            <w:fldChar w:fldCharType="separate"/>
          </w:r>
          <w:r w:rsidR="00D91B26" w:rsidRPr="00D91B26">
            <w:rPr>
              <w:noProof/>
              <w:lang w:val="en-US" w:eastAsia="zh-TW"/>
            </w:rPr>
            <w:t>[2]</w:t>
          </w:r>
          <w:r w:rsidR="00D91B26">
            <w:rPr>
              <w:bCs/>
              <w:lang w:val="en-US" w:eastAsia="zh-TW"/>
            </w:rPr>
            <w:fldChar w:fldCharType="end"/>
          </w:r>
        </w:sdtContent>
      </w:sdt>
    </w:p>
    <w:p w:rsidR="00005808" w:rsidRPr="00833A29" w:rsidRDefault="00005808" w:rsidP="00005808">
      <w:pPr>
        <w:rPr>
          <w:i/>
        </w:rPr>
      </w:pPr>
      <w:r w:rsidRPr="00005808">
        <w:rPr>
          <w:i/>
          <w:highlight w:val="green"/>
        </w:rPr>
        <w:t>Agreement</w:t>
      </w:r>
    </w:p>
    <w:p w:rsidR="00005808" w:rsidRPr="00833A29" w:rsidRDefault="00005808" w:rsidP="00005808">
      <w:pPr>
        <w:rPr>
          <w:i/>
        </w:rPr>
      </w:pPr>
      <w:r w:rsidRPr="00833A29">
        <w:rPr>
          <w:i/>
        </w:rPr>
        <w:t>UE-group WUSs are only multiplexed in the same NB as associated PO</w:t>
      </w:r>
    </w:p>
    <w:p w:rsidR="00005808" w:rsidRPr="00005808" w:rsidRDefault="00005808" w:rsidP="00005808">
      <w:pPr>
        <w:pStyle w:val="ListParagraph"/>
      </w:pPr>
      <w:r w:rsidRPr="00005808">
        <w:t>FFS TDM/FDM/CDM for UE-group MWUS multiplexing</w:t>
      </w:r>
    </w:p>
    <w:p w:rsidR="00005808" w:rsidRPr="00005808" w:rsidRDefault="00005808" w:rsidP="00005808">
      <w:pPr>
        <w:rPr>
          <w:i/>
        </w:rPr>
      </w:pPr>
      <w:r w:rsidRPr="00005808">
        <w:rPr>
          <w:i/>
          <w:highlight w:val="green"/>
        </w:rPr>
        <w:t>Agreement</w:t>
      </w:r>
    </w:p>
    <w:p w:rsidR="00005808" w:rsidRPr="00005808" w:rsidRDefault="00005808" w:rsidP="00005808">
      <w:pPr>
        <w:pStyle w:val="ListParagraph"/>
      </w:pPr>
      <w:r w:rsidRPr="00005808">
        <w:t>UE-group MWUS is supported based on eNB’s and UE’s capability.</w:t>
      </w:r>
    </w:p>
    <w:p w:rsidR="00005808" w:rsidRPr="00005808" w:rsidRDefault="00005808" w:rsidP="00005808">
      <w:pPr>
        <w:pStyle w:val="ListParagraph"/>
      </w:pPr>
      <w:r w:rsidRPr="00005808">
        <w:t>Whether the network supports UE-group MWUS is done by higher layer signalling.</w:t>
      </w:r>
    </w:p>
    <w:p w:rsidR="00005808" w:rsidRPr="00005808" w:rsidRDefault="00005808" w:rsidP="00005808">
      <w:pPr>
        <w:pStyle w:val="ListParagraph"/>
      </w:pPr>
      <w:r w:rsidRPr="00005808">
        <w:t>FFS: The number of UE groups is configured by SIB.</w:t>
      </w:r>
    </w:p>
    <w:p w:rsidR="00005808" w:rsidRPr="00005808" w:rsidRDefault="00005808" w:rsidP="00005808">
      <w:pPr>
        <w:pStyle w:val="ListParagraph"/>
      </w:pPr>
      <w:r w:rsidRPr="00005808">
        <w:t>Note that the UE-group MWUS is UE optional</w:t>
      </w:r>
    </w:p>
    <w:p w:rsidR="00005808" w:rsidRPr="00833A29" w:rsidRDefault="00005808" w:rsidP="00005808">
      <w:pPr>
        <w:rPr>
          <w:i/>
        </w:rPr>
      </w:pPr>
      <w:r w:rsidRPr="00005808">
        <w:rPr>
          <w:i/>
          <w:highlight w:val="green"/>
        </w:rPr>
        <w:t>Agreement</w:t>
      </w:r>
    </w:p>
    <w:p w:rsidR="00005808" w:rsidRPr="00833A29" w:rsidRDefault="00005808" w:rsidP="00005808">
      <w:pPr>
        <w:ind w:firstLine="284"/>
        <w:rPr>
          <w:i/>
        </w:rPr>
      </w:pPr>
      <w:r w:rsidRPr="00833A29">
        <w:rPr>
          <w:i/>
        </w:rPr>
        <w:t>Rel-16 UE-group MWUS sequence should consider at least</w:t>
      </w:r>
    </w:p>
    <w:p w:rsidR="00005808" w:rsidRPr="00005808" w:rsidRDefault="00005808" w:rsidP="00005808">
      <w:pPr>
        <w:pStyle w:val="ListParagraph"/>
      </w:pPr>
      <w:r w:rsidRPr="00005808">
        <w:t xml:space="preserve">Fallback to legacy UE </w:t>
      </w:r>
      <w:r>
        <w:t>behaviour</w:t>
      </w:r>
    </w:p>
    <w:p w:rsidR="00005808" w:rsidRPr="00005808" w:rsidRDefault="00005808" w:rsidP="00005808">
      <w:pPr>
        <w:pStyle w:val="ListParagraph"/>
      </w:pPr>
      <w:r w:rsidRPr="00005808">
        <w:t>Inter-cell interference randomization</w:t>
      </w:r>
    </w:p>
    <w:p w:rsidR="00005808" w:rsidRPr="00005808" w:rsidRDefault="00005808" w:rsidP="00005808">
      <w:pPr>
        <w:pStyle w:val="ListParagraph"/>
      </w:pPr>
      <w:r w:rsidRPr="00005808">
        <w:t>UE group ID for different UE-group MWUS</w:t>
      </w:r>
    </w:p>
    <w:p w:rsidR="00005808" w:rsidRPr="00005808" w:rsidRDefault="00005808" w:rsidP="00005808">
      <w:pPr>
        <w:pStyle w:val="ListParagraph"/>
      </w:pPr>
      <w:r w:rsidRPr="00005808">
        <w:t>Reuse of Rel-15 sequences is not precluded</w:t>
      </w:r>
    </w:p>
    <w:p w:rsidR="00005808" w:rsidRPr="00005808" w:rsidRDefault="00005808" w:rsidP="00005808">
      <w:pPr>
        <w:pStyle w:val="ListParagraph"/>
      </w:pPr>
      <w:r w:rsidRPr="00005808">
        <w:t>Effect of sequence detection on UE complexity</w:t>
      </w:r>
    </w:p>
    <w:p w:rsidR="00005808" w:rsidRPr="00005808" w:rsidRDefault="00005808" w:rsidP="00005808">
      <w:pPr>
        <w:rPr>
          <w:i/>
        </w:rPr>
      </w:pPr>
      <w:r w:rsidRPr="00005808">
        <w:rPr>
          <w:i/>
          <w:highlight w:val="green"/>
        </w:rPr>
        <w:t>Agreement</w:t>
      </w:r>
    </w:p>
    <w:p w:rsidR="00005808" w:rsidRPr="00833A29" w:rsidRDefault="00005808" w:rsidP="00005808">
      <w:pPr>
        <w:rPr>
          <w:i/>
        </w:rPr>
      </w:pPr>
      <w:r w:rsidRPr="00833A29">
        <w:rPr>
          <w:i/>
        </w:rPr>
        <w:t>Study the RAN1 consequence of UE-grouping on the following basis:</w:t>
      </w:r>
    </w:p>
    <w:p w:rsidR="00005808" w:rsidRPr="00005808" w:rsidRDefault="00005808" w:rsidP="00005808">
      <w:pPr>
        <w:pStyle w:val="ListParagraph"/>
      </w:pPr>
      <w:r w:rsidRPr="00005808">
        <w:t>UE ID</w:t>
      </w:r>
    </w:p>
    <w:p w:rsidR="00005808" w:rsidRPr="00005808" w:rsidRDefault="00005808" w:rsidP="00005808">
      <w:pPr>
        <w:pStyle w:val="ListParagraph"/>
      </w:pPr>
      <w:r w:rsidRPr="00005808">
        <w:t>Coverage</w:t>
      </w:r>
    </w:p>
    <w:p w:rsidR="00005808" w:rsidRPr="00005808" w:rsidRDefault="00005808" w:rsidP="00005808">
      <w:pPr>
        <w:pStyle w:val="ListParagraph"/>
      </w:pPr>
      <w:r w:rsidRPr="00005808">
        <w:t>DRX/eDRX</w:t>
      </w:r>
    </w:p>
    <w:p w:rsidR="00005808" w:rsidRPr="00005808" w:rsidRDefault="00005808" w:rsidP="00005808">
      <w:pPr>
        <w:pStyle w:val="ListParagraph"/>
      </w:pPr>
      <w:r w:rsidRPr="00005808">
        <w:t>Gap configuration</w:t>
      </w:r>
    </w:p>
    <w:p w:rsidR="00005808" w:rsidRPr="00005808" w:rsidRDefault="00005808" w:rsidP="00005808">
      <w:pPr>
        <w:pStyle w:val="ListParagraph"/>
      </w:pPr>
      <w:r w:rsidRPr="00005808">
        <w:t>Services</w:t>
      </w:r>
    </w:p>
    <w:p w:rsidR="00B84DB6" w:rsidRPr="00E447CB" w:rsidRDefault="00B84DB6" w:rsidP="00B84DB6">
      <w:pPr>
        <w:pStyle w:val="ListBullet3"/>
        <w:numPr>
          <w:ilvl w:val="0"/>
          <w:numId w:val="0"/>
        </w:numPr>
        <w:spacing w:before="120" w:after="120"/>
        <w:jc w:val="both"/>
        <w:rPr>
          <w:rFonts w:ascii="Times" w:eastAsia="MS Mincho" w:hAnsi="Times" w:cs="Times"/>
          <w:lang w:val="en-US"/>
        </w:rPr>
      </w:pPr>
      <w:r w:rsidRPr="00E447CB">
        <w:rPr>
          <w:lang w:val="en-US"/>
        </w:rPr>
        <w:t xml:space="preserve">In this contribution, we </w:t>
      </w:r>
      <w:r w:rsidRPr="00E447CB">
        <w:rPr>
          <w:rFonts w:ascii="Times" w:eastAsia="MS Mincho" w:hAnsi="Times" w:cs="Times"/>
          <w:lang w:val="en-US"/>
        </w:rPr>
        <w:t>provide our views on the</w:t>
      </w:r>
      <w:r>
        <w:rPr>
          <w:rFonts w:ascii="Times" w:eastAsia="MS Mincho" w:hAnsi="Times" w:cs="Times"/>
          <w:lang w:val="en-US"/>
        </w:rPr>
        <w:t xml:space="preserve"> UE-group WUS for NB-IoT and make some proposals.</w:t>
      </w:r>
    </w:p>
    <w:p w:rsidR="00D4400E" w:rsidRPr="00331E55" w:rsidRDefault="00435E9A" w:rsidP="0048580E">
      <w:pPr>
        <w:pStyle w:val="Heading1"/>
        <w:jc w:val="both"/>
        <w:rPr>
          <w:rFonts w:eastAsia="Batang"/>
          <w:lang w:val="en-US"/>
        </w:rPr>
      </w:pPr>
      <w:r>
        <w:rPr>
          <w:rFonts w:eastAsia="Batang"/>
          <w:lang w:val="en-US"/>
        </w:rPr>
        <w:t>Discussion</w:t>
      </w:r>
    </w:p>
    <w:p w:rsidR="00D1448B" w:rsidRDefault="00435E9A" w:rsidP="004B6D1F">
      <w:pPr>
        <w:pStyle w:val="TDocProposal"/>
        <w:numPr>
          <w:ilvl w:val="0"/>
          <w:numId w:val="0"/>
        </w:numPr>
        <w:rPr>
          <w:b w:val="0"/>
        </w:rPr>
      </w:pPr>
      <w:r>
        <w:rPr>
          <w:b w:val="0"/>
        </w:rPr>
        <w:t>In R</w:t>
      </w:r>
      <w:r>
        <w:rPr>
          <w:b w:val="0"/>
        </w:rPr>
        <w:t>AN</w:t>
      </w:r>
      <w:r>
        <w:rPr>
          <w:b w:val="0"/>
        </w:rPr>
        <w:t xml:space="preserve">1#94 </w:t>
      </w:r>
      <w:r w:rsidR="003457E6">
        <w:rPr>
          <w:b w:val="0"/>
        </w:rPr>
        <w:t xml:space="preserve">it </w:t>
      </w:r>
      <w:r>
        <w:rPr>
          <w:b w:val="0"/>
        </w:rPr>
        <w:t xml:space="preserve">was agreed that </w:t>
      </w:r>
      <w:r w:rsidR="00B85EBA">
        <w:rPr>
          <w:b w:val="0"/>
        </w:rPr>
        <w:t xml:space="preserve">FDM, </w:t>
      </w:r>
      <w:r>
        <w:rPr>
          <w:b w:val="0"/>
        </w:rPr>
        <w:t>TDM and CDM multiplexing are the</w:t>
      </w:r>
      <w:r>
        <w:rPr>
          <w:b w:val="0"/>
        </w:rPr>
        <w:t xml:space="preserve"> options </w:t>
      </w:r>
      <w:r w:rsidR="00D1448B">
        <w:rPr>
          <w:b w:val="0"/>
        </w:rPr>
        <w:t xml:space="preserve">for the MWUS. The multiplexing technique is FFS as recorded </w:t>
      </w:r>
      <w:r w:rsidR="00D1448B" w:rsidRPr="00D1448B">
        <w:rPr>
          <w:b w:val="0"/>
        </w:rPr>
        <w:t xml:space="preserve">in </w:t>
      </w:r>
      <w:sdt>
        <w:sdtPr>
          <w:rPr>
            <w:b w:val="0"/>
          </w:rPr>
          <w:id w:val="965166509"/>
          <w:citation/>
        </w:sdtPr>
        <w:sdtContent>
          <w:r w:rsidR="00D1448B" w:rsidRPr="00D91B26">
            <w:rPr>
              <w:b w:val="0"/>
            </w:rPr>
            <w:fldChar w:fldCharType="begin"/>
          </w:r>
          <w:r w:rsidR="00D1448B" w:rsidRPr="00D91B26">
            <w:rPr>
              <w:b w:val="0"/>
            </w:rPr>
            <w:instrText xml:space="preserve"> CITATION RP181873 \l 1033 </w:instrText>
          </w:r>
          <w:r w:rsidR="00D1448B" w:rsidRPr="00D91B26">
            <w:rPr>
              <w:b w:val="0"/>
            </w:rPr>
            <w:fldChar w:fldCharType="separate"/>
          </w:r>
          <w:r w:rsidR="00D91B26">
            <w:rPr>
              <w:noProof/>
            </w:rPr>
            <w:t>[2]</w:t>
          </w:r>
          <w:r w:rsidR="00D1448B" w:rsidRPr="00D91B26">
            <w:rPr>
              <w:b w:val="0"/>
            </w:rPr>
            <w:fldChar w:fldCharType="end"/>
          </w:r>
        </w:sdtContent>
      </w:sdt>
      <w:r w:rsidR="00D1448B" w:rsidRPr="00D91B26">
        <w:rPr>
          <w:b w:val="0"/>
        </w:rPr>
        <w:t>.</w:t>
      </w:r>
    </w:p>
    <w:p w:rsidR="004B6D1F" w:rsidRDefault="00D1448B" w:rsidP="004B6D1F">
      <w:pPr>
        <w:pStyle w:val="TDocProposal"/>
        <w:numPr>
          <w:ilvl w:val="0"/>
          <w:numId w:val="0"/>
        </w:numPr>
        <w:rPr>
          <w:b w:val="0"/>
        </w:rPr>
      </w:pPr>
      <w:r>
        <w:rPr>
          <w:b w:val="0"/>
        </w:rPr>
        <w:t xml:space="preserve">Besides single multiplexing techniques combinations are possible.to address </w:t>
      </w:r>
      <w:r w:rsidR="004B6D1F">
        <w:rPr>
          <w:b w:val="0"/>
        </w:rPr>
        <w:t>UE-groups</w:t>
      </w:r>
      <w:r>
        <w:rPr>
          <w:b w:val="0"/>
        </w:rPr>
        <w:t>, i.e.TDM+CDM or CDM+FDM.</w:t>
      </w:r>
    </w:p>
    <w:p w:rsidR="002318B8" w:rsidRDefault="004B6D1F" w:rsidP="004B6D1F">
      <w:pPr>
        <w:rPr>
          <w:lang w:val="en-US"/>
        </w:rPr>
      </w:pPr>
      <w:r>
        <w:rPr>
          <w:lang w:val="en-US"/>
        </w:rPr>
        <w:t xml:space="preserve">Using TDM </w:t>
      </w:r>
      <w:r w:rsidR="00EE1C24">
        <w:rPr>
          <w:lang w:val="en-US"/>
        </w:rPr>
        <w:t>increases the delay for the wake-up of UEs but has least impact on the transmission power</w:t>
      </w:r>
      <w:r w:rsidR="00005524">
        <w:rPr>
          <w:lang w:val="en-US"/>
        </w:rPr>
        <w:t xml:space="preserve">. </w:t>
      </w:r>
      <w:r w:rsidR="00EE1C24">
        <w:rPr>
          <w:lang w:val="en-US"/>
        </w:rPr>
        <w:t>The</w:t>
      </w:r>
      <w:r>
        <w:rPr>
          <w:lang w:val="en-US"/>
        </w:rPr>
        <w:t xml:space="preserve"> added complexity on the UE in case of CDM needs to</w:t>
      </w:r>
      <w:r w:rsidR="00F30AA8">
        <w:rPr>
          <w:lang w:val="en-US"/>
        </w:rPr>
        <w:t xml:space="preserve"> be considered</w:t>
      </w:r>
      <w:r w:rsidR="00EE1C24">
        <w:rPr>
          <w:lang w:val="en-US"/>
        </w:rPr>
        <w:t xml:space="preserve"> </w:t>
      </w:r>
      <w:r w:rsidR="006D2E09">
        <w:rPr>
          <w:lang w:val="en-US"/>
        </w:rPr>
        <w:t xml:space="preserve">for the sequence design </w:t>
      </w:r>
      <w:r w:rsidR="00EE1C24">
        <w:rPr>
          <w:lang w:val="en-US"/>
        </w:rPr>
        <w:t xml:space="preserve">and depends </w:t>
      </w:r>
      <w:r w:rsidR="006D2E09">
        <w:rPr>
          <w:lang w:val="en-US"/>
        </w:rPr>
        <w:t>on</w:t>
      </w:r>
      <w:r w:rsidR="00EE1C24">
        <w:rPr>
          <w:lang w:val="en-US"/>
        </w:rPr>
        <w:t xml:space="preserve"> the supported number of groups</w:t>
      </w:r>
      <w:r w:rsidR="00F30AA8">
        <w:rPr>
          <w:lang w:val="en-US"/>
        </w:rPr>
        <w:t>.</w:t>
      </w:r>
      <w:r w:rsidR="006C620C">
        <w:rPr>
          <w:lang w:val="en-US"/>
        </w:rPr>
        <w:t xml:space="preserve"> </w:t>
      </w:r>
      <w:r w:rsidR="00EE1C24">
        <w:rPr>
          <w:lang w:val="en-US"/>
        </w:rPr>
        <w:t>A</w:t>
      </w:r>
      <w:r w:rsidR="006C620C">
        <w:rPr>
          <w:lang w:val="en-US"/>
        </w:rPr>
        <w:t xml:space="preserve"> fine granularity for grouping </w:t>
      </w:r>
      <w:r w:rsidR="003457E6">
        <w:rPr>
          <w:lang w:val="en-US"/>
        </w:rPr>
        <w:t xml:space="preserve">is </w:t>
      </w:r>
      <w:r w:rsidR="006C620C">
        <w:rPr>
          <w:lang w:val="en-US"/>
        </w:rPr>
        <w:t>beneficial</w:t>
      </w:r>
      <w:r w:rsidR="003457E6">
        <w:rPr>
          <w:lang w:val="en-US"/>
        </w:rPr>
        <w:t xml:space="preserve"> for the UE power consumption</w:t>
      </w:r>
      <w:r w:rsidR="006C620C">
        <w:rPr>
          <w:lang w:val="en-US"/>
        </w:rPr>
        <w:t xml:space="preserve"> in case of high number of devices</w:t>
      </w:r>
      <w:r w:rsidR="006D2E09">
        <w:rPr>
          <w:lang w:val="en-US"/>
        </w:rPr>
        <w:t xml:space="preserve"> and CDM enables – with drawback due to higher complexity – more groups to be supported.</w:t>
      </w:r>
      <w:r w:rsidR="006C620C">
        <w:rPr>
          <w:lang w:val="en-US"/>
        </w:rPr>
        <w:t>.</w:t>
      </w:r>
    </w:p>
    <w:p w:rsidR="00005808" w:rsidRDefault="00005808" w:rsidP="00005808">
      <w:pPr>
        <w:pStyle w:val="TDocProposal"/>
        <w:numPr>
          <w:ilvl w:val="0"/>
          <w:numId w:val="30"/>
        </w:numPr>
      </w:pPr>
      <w:r>
        <w:t>Rel-16 WUS uses CDM for addressing UE-groups or a combination of CDM and TDM.</w:t>
      </w:r>
    </w:p>
    <w:p w:rsidR="002318B8" w:rsidRDefault="006D2E09" w:rsidP="004B6D1F">
      <w:pPr>
        <w:rPr>
          <w:lang w:val="en-US"/>
        </w:rPr>
      </w:pPr>
      <w:r>
        <w:rPr>
          <w:lang w:val="en-US"/>
        </w:rPr>
        <w:t xml:space="preserve">Even the Rel-15 WUS can be used as a first beacon to wake up Rel-16 devices. Additional Rel-16 WUS are then used to enable subgrouping. </w:t>
      </w:r>
      <w:r w:rsidR="002318B8">
        <w:rPr>
          <w:lang w:val="en-US"/>
        </w:rPr>
        <w:t xml:space="preserve">The WUS can introduce a </w:t>
      </w:r>
      <w:r w:rsidR="009230FD">
        <w:rPr>
          <w:lang w:val="en-US"/>
        </w:rPr>
        <w:t>2</w:t>
      </w:r>
      <w:r w:rsidR="002318B8">
        <w:rPr>
          <w:lang w:val="en-US"/>
        </w:rPr>
        <w:t>-step addressing scheme for subgrouping that consists of</w:t>
      </w:r>
    </w:p>
    <w:p w:rsidR="002318B8" w:rsidRDefault="002318B8" w:rsidP="00005808">
      <w:pPr>
        <w:pStyle w:val="ListParagraph"/>
        <w:numPr>
          <w:ilvl w:val="0"/>
          <w:numId w:val="29"/>
        </w:numPr>
        <w:rPr>
          <w:lang w:val="en-US"/>
        </w:rPr>
      </w:pPr>
      <w:r>
        <w:rPr>
          <w:lang w:val="en-US"/>
        </w:rPr>
        <w:t xml:space="preserve">A: </w:t>
      </w:r>
      <w:r>
        <w:rPr>
          <w:lang w:val="en-US"/>
        </w:rPr>
        <w:t>R</w:t>
      </w:r>
      <w:r w:rsidR="003457E6">
        <w:rPr>
          <w:lang w:val="en-US"/>
        </w:rPr>
        <w:t>el</w:t>
      </w:r>
      <w:r w:rsidR="006D2E09">
        <w:rPr>
          <w:lang w:val="en-US"/>
        </w:rPr>
        <w:t>-</w:t>
      </w:r>
      <w:r>
        <w:rPr>
          <w:lang w:val="en-US"/>
        </w:rPr>
        <w:t xml:space="preserve">15 WUS + </w:t>
      </w:r>
      <w:r w:rsidR="003457E6">
        <w:rPr>
          <w:lang w:val="en-US"/>
        </w:rPr>
        <w:t>Rel-16</w:t>
      </w:r>
      <w:r>
        <w:rPr>
          <w:lang w:val="en-US"/>
        </w:rPr>
        <w:t xml:space="preserve"> WUS </w:t>
      </w:r>
      <w:r w:rsidR="00E04684">
        <w:rPr>
          <w:lang w:val="en-US"/>
        </w:rPr>
        <w:t xml:space="preserve">for subgroups </w:t>
      </w:r>
      <w:r w:rsidR="007D21FC">
        <w:rPr>
          <w:lang w:val="en-US"/>
        </w:rPr>
        <w:t>+ 2</w:t>
      </w:r>
      <w:r w:rsidR="007D21FC" w:rsidRPr="007D21FC">
        <w:rPr>
          <w:vertAlign w:val="superscript"/>
          <w:lang w:val="en-US"/>
        </w:rPr>
        <w:t>nd</w:t>
      </w:r>
      <w:r w:rsidR="007D21FC">
        <w:rPr>
          <w:lang w:val="en-US"/>
        </w:rPr>
        <w:t xml:space="preserve"> </w:t>
      </w:r>
      <w:r w:rsidR="003457E6">
        <w:rPr>
          <w:lang w:val="en-US"/>
        </w:rPr>
        <w:t>Rel-16</w:t>
      </w:r>
      <w:r w:rsidR="007D21FC">
        <w:rPr>
          <w:lang w:val="en-US"/>
        </w:rPr>
        <w:t xml:space="preserve"> </w:t>
      </w:r>
      <w:r w:rsidR="00E04684">
        <w:rPr>
          <w:lang w:val="en-US"/>
        </w:rPr>
        <w:t>WUS</w:t>
      </w:r>
      <w:r w:rsidR="007D21FC">
        <w:rPr>
          <w:lang w:val="en-US"/>
        </w:rPr>
        <w:t xml:space="preserve"> </w:t>
      </w:r>
      <w:r>
        <w:rPr>
          <w:lang w:val="en-US"/>
        </w:rPr>
        <w:t xml:space="preserve">for </w:t>
      </w:r>
      <w:r w:rsidR="007D21FC">
        <w:rPr>
          <w:lang w:val="en-US"/>
        </w:rPr>
        <w:t>sub-</w:t>
      </w:r>
      <w:r>
        <w:rPr>
          <w:lang w:val="en-US"/>
        </w:rPr>
        <w:t>subgroups</w:t>
      </w:r>
    </w:p>
    <w:p w:rsidR="002318B8" w:rsidRDefault="002318B8" w:rsidP="00005808">
      <w:pPr>
        <w:pStyle w:val="ListParagraph"/>
        <w:numPr>
          <w:ilvl w:val="0"/>
          <w:numId w:val="29"/>
        </w:numPr>
        <w:rPr>
          <w:lang w:val="en-US"/>
        </w:rPr>
      </w:pPr>
      <w:r>
        <w:rPr>
          <w:lang w:val="en-US"/>
        </w:rPr>
        <w:t xml:space="preserve">B: </w:t>
      </w:r>
      <w:r w:rsidR="003457E6">
        <w:rPr>
          <w:lang w:val="en-US"/>
        </w:rPr>
        <w:t>Rel-16</w:t>
      </w:r>
      <w:r>
        <w:rPr>
          <w:lang w:val="en-US"/>
        </w:rPr>
        <w:t xml:space="preserve"> TDM WUS + </w:t>
      </w:r>
      <w:r w:rsidR="003457E6">
        <w:rPr>
          <w:lang w:val="en-US"/>
        </w:rPr>
        <w:t>Rel-16</w:t>
      </w:r>
      <w:r>
        <w:rPr>
          <w:lang w:val="en-US"/>
        </w:rPr>
        <w:t xml:space="preserve"> CDM WUS for subgroups</w:t>
      </w:r>
    </w:p>
    <w:p w:rsidR="002318B8" w:rsidRDefault="002318B8" w:rsidP="00005808">
      <w:pPr>
        <w:pStyle w:val="ListParagraph"/>
        <w:numPr>
          <w:ilvl w:val="0"/>
          <w:numId w:val="29"/>
        </w:numPr>
        <w:rPr>
          <w:lang w:val="en-US"/>
        </w:rPr>
      </w:pPr>
      <w:r>
        <w:rPr>
          <w:lang w:val="en-US"/>
        </w:rPr>
        <w:t xml:space="preserve">C: </w:t>
      </w:r>
      <w:r w:rsidR="003457E6">
        <w:rPr>
          <w:lang w:val="en-US"/>
        </w:rPr>
        <w:t>Rel-16</w:t>
      </w:r>
      <w:r>
        <w:rPr>
          <w:lang w:val="en-US"/>
        </w:rPr>
        <w:t xml:space="preserve"> CDM WUS + 2</w:t>
      </w:r>
      <w:r w:rsidRPr="002318B8">
        <w:rPr>
          <w:vertAlign w:val="superscript"/>
          <w:lang w:val="en-US"/>
        </w:rPr>
        <w:t>nd</w:t>
      </w:r>
      <w:r>
        <w:rPr>
          <w:lang w:val="en-US"/>
        </w:rPr>
        <w:t xml:space="preserve"> </w:t>
      </w:r>
      <w:r w:rsidR="003457E6">
        <w:rPr>
          <w:lang w:val="en-US"/>
        </w:rPr>
        <w:t>Rel-16</w:t>
      </w:r>
      <w:r>
        <w:rPr>
          <w:lang w:val="en-US"/>
        </w:rPr>
        <w:t xml:space="preserve"> CDM WUS for sub-subgroup</w:t>
      </w:r>
      <w:r w:rsidR="00E04684">
        <w:rPr>
          <w:lang w:val="en-US"/>
        </w:rPr>
        <w:t>s</w:t>
      </w:r>
    </w:p>
    <w:p w:rsidR="007D21FC" w:rsidRDefault="007D21FC" w:rsidP="002318B8">
      <w:pPr>
        <w:rPr>
          <w:lang w:val="en-US"/>
        </w:rPr>
      </w:pPr>
      <w:r>
        <w:rPr>
          <w:lang w:val="en-US"/>
        </w:rPr>
        <w:t>The Rel</w:t>
      </w:r>
      <w:r w:rsidR="003457E6">
        <w:rPr>
          <w:lang w:val="en-US"/>
        </w:rPr>
        <w:t>-</w:t>
      </w:r>
      <w:r>
        <w:rPr>
          <w:lang w:val="en-US"/>
        </w:rPr>
        <w:t xml:space="preserve">15 WUS can either be ignored (Option B, C) or can be used as an initial beacon (Option A). In both cases, subgrouping for </w:t>
      </w:r>
      <w:r w:rsidR="003457E6">
        <w:rPr>
          <w:lang w:val="en-US"/>
        </w:rPr>
        <w:t>Rel-16</w:t>
      </w:r>
      <w:r>
        <w:rPr>
          <w:lang w:val="en-US"/>
        </w:rPr>
        <w:t xml:space="preserve"> UEs is possible. Option B does not use the R</w:t>
      </w:r>
      <w:r w:rsidR="003457E6">
        <w:rPr>
          <w:lang w:val="en-US"/>
        </w:rPr>
        <w:t>el-</w:t>
      </w:r>
      <w:r>
        <w:rPr>
          <w:lang w:val="en-US"/>
        </w:rPr>
        <w:t xml:space="preserve">15 WUS but uses a dedicated </w:t>
      </w:r>
      <w:r w:rsidR="003457E6">
        <w:rPr>
          <w:lang w:val="en-US"/>
        </w:rPr>
        <w:t>Rel-16</w:t>
      </w:r>
      <w:r>
        <w:rPr>
          <w:lang w:val="en-US"/>
        </w:rPr>
        <w:t xml:space="preserve"> WUS sequence as a beacon. Option C uses CDM as the only multiplexing mechanism combined with a </w:t>
      </w:r>
      <w:r w:rsidR="009230FD">
        <w:rPr>
          <w:lang w:val="en-US"/>
        </w:rPr>
        <w:t>2</w:t>
      </w:r>
      <w:r>
        <w:rPr>
          <w:lang w:val="en-US"/>
        </w:rPr>
        <w:t xml:space="preserve">-step addressing scheme. This option allows for a very granular addressing of UE-groups and can even be used to differentiate between </w:t>
      </w:r>
      <w:r w:rsidR="00E04684">
        <w:rPr>
          <w:lang w:val="en-US"/>
        </w:rPr>
        <w:t>“groupcast”</w:t>
      </w:r>
      <w:r>
        <w:rPr>
          <w:lang w:val="en-US"/>
        </w:rPr>
        <w:t xml:space="preserve"> and “unicast”.</w:t>
      </w:r>
    </w:p>
    <w:p w:rsidR="00572652" w:rsidRDefault="00572652" w:rsidP="002318B8">
      <w:pPr>
        <w:rPr>
          <w:lang w:val="en-US"/>
        </w:rPr>
      </w:pPr>
      <w:r>
        <w:rPr>
          <w:noProof/>
          <w:lang w:val="de-DE" w:eastAsia="de-DE"/>
        </w:rPr>
        <w:drawing>
          <wp:inline distT="0" distB="0" distL="0" distR="0" wp14:anchorId="122B39B7" wp14:editId="1F51D688">
            <wp:extent cx="4964768" cy="174117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jn\AppData\Local\Microsoft\Windows\INetCache\Content.Word\Subgroup Addr with Beacon.p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964768" cy="1741170"/>
                    </a:xfrm>
                    <a:prstGeom prst="rect">
                      <a:avLst/>
                    </a:prstGeom>
                    <a:noFill/>
                    <a:ln>
                      <a:noFill/>
                    </a:ln>
                  </pic:spPr>
                </pic:pic>
              </a:graphicData>
            </a:graphic>
          </wp:inline>
        </w:drawing>
      </w:r>
    </w:p>
    <w:p w:rsidR="00572652" w:rsidRPr="00DC6419" w:rsidRDefault="00572652" w:rsidP="00572652">
      <w:pPr>
        <w:pStyle w:val="Caption"/>
      </w:pPr>
      <w:bookmarkStart w:id="1" w:name="_Ref525839951"/>
      <w:bookmarkStart w:id="2" w:name="_Ref525839958"/>
      <w:r>
        <w:t xml:space="preserve">Figure </w:t>
      </w:r>
      <w:r>
        <w:fldChar w:fldCharType="begin"/>
      </w:r>
      <w:r>
        <w:instrText xml:space="preserve"> SEQ Figure \* ARABIC </w:instrText>
      </w:r>
      <w:r>
        <w:fldChar w:fldCharType="separate"/>
      </w:r>
      <w:r w:rsidR="006536DB">
        <w:rPr>
          <w:noProof/>
        </w:rPr>
        <w:t>1</w:t>
      </w:r>
      <w:r>
        <w:fldChar w:fldCharType="end"/>
      </w:r>
      <w:bookmarkEnd w:id="2"/>
      <w:r>
        <w:t xml:space="preserve"> </w:t>
      </w:r>
      <w:r w:rsidR="00E04684">
        <w:t>–</w:t>
      </w:r>
      <w:r>
        <w:t xml:space="preserve"> </w:t>
      </w:r>
      <w:r w:rsidR="00E04684">
        <w:t xml:space="preserve">Rel-15 WUS with </w:t>
      </w:r>
      <w:r w:rsidR="003457E6">
        <w:t>REL-16</w:t>
      </w:r>
      <w:r>
        <w:t xml:space="preserve"> WUS</w:t>
      </w:r>
      <w:bookmarkEnd w:id="1"/>
      <w:r w:rsidR="00CE57CF">
        <w:t xml:space="preserve"> </w:t>
      </w:r>
      <w:r w:rsidR="00E04684">
        <w:t xml:space="preserve">subgrouping </w:t>
      </w:r>
      <w:r w:rsidR="00CE57CF">
        <w:t>– Option A</w:t>
      </w:r>
    </w:p>
    <w:p w:rsidR="007D21FC" w:rsidRDefault="007D21FC" w:rsidP="002318B8">
      <w:pPr>
        <w:rPr>
          <w:lang w:val="en-US"/>
        </w:rPr>
      </w:pPr>
      <w:r>
        <w:rPr>
          <w:lang w:val="en-US"/>
        </w:rPr>
        <w:fldChar w:fldCharType="begin"/>
      </w:r>
      <w:r>
        <w:rPr>
          <w:lang w:val="en-US"/>
        </w:rPr>
        <w:instrText xml:space="preserve"> REF _Ref525839958 \h </w:instrText>
      </w:r>
      <w:r>
        <w:rPr>
          <w:lang w:val="en-US"/>
        </w:rPr>
      </w:r>
      <w:r>
        <w:rPr>
          <w:lang w:val="en-US"/>
        </w:rPr>
        <w:fldChar w:fldCharType="separate"/>
      </w:r>
      <w:r w:rsidR="006536DB">
        <w:t xml:space="preserve">Figure </w:t>
      </w:r>
      <w:r w:rsidR="006536DB">
        <w:rPr>
          <w:noProof/>
        </w:rPr>
        <w:t>1</w:t>
      </w:r>
      <w:r>
        <w:rPr>
          <w:lang w:val="en-US"/>
        </w:rPr>
        <w:fldChar w:fldCharType="end"/>
      </w:r>
      <w:r>
        <w:rPr>
          <w:lang w:val="en-US"/>
        </w:rPr>
        <w:t xml:space="preserve"> shows the concept of subgrouping for </w:t>
      </w:r>
      <w:r w:rsidR="004E5EEA">
        <w:rPr>
          <w:lang w:val="en-US"/>
        </w:rPr>
        <w:t>Option A. The use of R</w:t>
      </w:r>
      <w:r w:rsidR="003457E6">
        <w:rPr>
          <w:lang w:val="en-US"/>
        </w:rPr>
        <w:t>el-</w:t>
      </w:r>
      <w:r w:rsidR="004E5EEA">
        <w:rPr>
          <w:lang w:val="en-US"/>
        </w:rPr>
        <w:t>15 WUS as a “supergroup” allows for backward compatibility</w:t>
      </w:r>
      <w:r w:rsidR="00A9571C">
        <w:rPr>
          <w:lang w:val="en-US"/>
        </w:rPr>
        <w:t xml:space="preserve">. </w:t>
      </w:r>
      <w:r w:rsidR="00E04684">
        <w:rPr>
          <w:lang w:val="en-US"/>
        </w:rPr>
        <w:t xml:space="preserve">The Rel-15 devices and Rel-16 devices may be considered already as “subgroup x”. </w:t>
      </w:r>
      <w:r w:rsidR="00A9571C">
        <w:rPr>
          <w:lang w:val="en-US"/>
        </w:rPr>
        <w:t>T</w:t>
      </w:r>
      <w:r w:rsidR="004E5EEA">
        <w:rPr>
          <w:lang w:val="en-US"/>
        </w:rPr>
        <w:t xml:space="preserve">he effect on legacy devices </w:t>
      </w:r>
      <w:r w:rsidR="00A9571C">
        <w:rPr>
          <w:lang w:val="en-US"/>
        </w:rPr>
        <w:t xml:space="preserve">should be </w:t>
      </w:r>
      <w:r w:rsidR="004E5EEA">
        <w:rPr>
          <w:lang w:val="en-US"/>
        </w:rPr>
        <w:t>considered</w:t>
      </w:r>
      <w:r w:rsidR="00E04684">
        <w:rPr>
          <w:lang w:val="en-US"/>
        </w:rPr>
        <w:t xml:space="preserve"> and is FFS</w:t>
      </w:r>
      <w:r w:rsidR="004E5EEA">
        <w:rPr>
          <w:lang w:val="en-US"/>
        </w:rPr>
        <w:t xml:space="preserve">. </w:t>
      </w:r>
      <w:r w:rsidR="004E5EEA">
        <w:rPr>
          <w:lang w:val="en-US"/>
        </w:rPr>
        <w:fldChar w:fldCharType="begin"/>
      </w:r>
      <w:r w:rsidR="004E5EEA">
        <w:rPr>
          <w:lang w:val="en-US"/>
        </w:rPr>
        <w:instrText xml:space="preserve"> REF _Ref525840165 \h </w:instrText>
      </w:r>
      <w:r w:rsidR="004E5EEA">
        <w:rPr>
          <w:lang w:val="en-US"/>
        </w:rPr>
      </w:r>
      <w:r w:rsidR="004E5EEA">
        <w:rPr>
          <w:lang w:val="en-US"/>
        </w:rPr>
        <w:fldChar w:fldCharType="separate"/>
      </w:r>
      <w:r w:rsidR="006536DB" w:rsidRPr="00572652">
        <w:t xml:space="preserve">Figure </w:t>
      </w:r>
      <w:r w:rsidR="006536DB">
        <w:rPr>
          <w:noProof/>
        </w:rPr>
        <w:t>2</w:t>
      </w:r>
      <w:r w:rsidR="004E5EEA">
        <w:rPr>
          <w:lang w:val="en-US"/>
        </w:rPr>
        <w:fldChar w:fldCharType="end"/>
      </w:r>
      <w:r w:rsidR="004E5EEA">
        <w:rPr>
          <w:lang w:val="en-US"/>
        </w:rPr>
        <w:t xml:space="preserve"> illustrate</w:t>
      </w:r>
      <w:r w:rsidR="00E04684">
        <w:rPr>
          <w:lang w:val="en-US"/>
        </w:rPr>
        <w:t>s</w:t>
      </w:r>
      <w:r w:rsidR="004E5EEA">
        <w:rPr>
          <w:lang w:val="en-US"/>
        </w:rPr>
        <w:t xml:space="preserve"> the </w:t>
      </w:r>
      <w:r w:rsidR="003457E6">
        <w:rPr>
          <w:lang w:val="en-US"/>
        </w:rPr>
        <w:t>Rel-16</w:t>
      </w:r>
      <w:r w:rsidR="004E5EEA">
        <w:rPr>
          <w:lang w:val="en-US"/>
        </w:rPr>
        <w:t xml:space="preserve"> behavior of R</w:t>
      </w:r>
      <w:r w:rsidR="003457E6">
        <w:rPr>
          <w:lang w:val="en-US"/>
        </w:rPr>
        <w:t>el-</w:t>
      </w:r>
      <w:r w:rsidR="004E5EEA">
        <w:rPr>
          <w:lang w:val="en-US"/>
        </w:rPr>
        <w:t xml:space="preserve">15 WUS </w:t>
      </w:r>
      <w:r w:rsidR="00312595">
        <w:rPr>
          <w:lang w:val="en-US"/>
        </w:rPr>
        <w:t xml:space="preserve">which </w:t>
      </w:r>
      <w:r w:rsidR="004E5EEA">
        <w:rPr>
          <w:lang w:val="en-US"/>
        </w:rPr>
        <w:t>is NOT used as a supergroup-beacon.</w:t>
      </w:r>
      <w:r w:rsidR="00A9571C">
        <w:rPr>
          <w:lang w:val="en-US"/>
        </w:rPr>
        <w:t xml:space="preserve"> For activation of </w:t>
      </w:r>
      <w:r w:rsidR="003457E6">
        <w:rPr>
          <w:lang w:val="en-US"/>
        </w:rPr>
        <w:t>Rel-16</w:t>
      </w:r>
      <w:r w:rsidR="00A9571C">
        <w:rPr>
          <w:lang w:val="en-US"/>
        </w:rPr>
        <w:t xml:space="preserve"> UEs, no R</w:t>
      </w:r>
      <w:r w:rsidR="003457E6">
        <w:rPr>
          <w:lang w:val="en-US"/>
        </w:rPr>
        <w:t>el-</w:t>
      </w:r>
      <w:r w:rsidR="00A9571C">
        <w:rPr>
          <w:lang w:val="en-US"/>
        </w:rPr>
        <w:t>15 WUS is needed and R</w:t>
      </w:r>
      <w:r w:rsidR="003457E6">
        <w:rPr>
          <w:lang w:val="en-US"/>
        </w:rPr>
        <w:t>el-</w:t>
      </w:r>
      <w:r w:rsidR="00A9571C">
        <w:rPr>
          <w:lang w:val="en-US"/>
        </w:rPr>
        <w:t xml:space="preserve">15 UEs do not </w:t>
      </w:r>
      <w:r w:rsidR="00312595">
        <w:rPr>
          <w:lang w:val="en-US"/>
        </w:rPr>
        <w:t>wake up</w:t>
      </w:r>
      <w:r w:rsidR="00A9571C">
        <w:rPr>
          <w:lang w:val="en-US"/>
        </w:rPr>
        <w:t>.</w:t>
      </w:r>
    </w:p>
    <w:p w:rsidR="004E5EEA" w:rsidRDefault="004E5EEA" w:rsidP="004B6D1F">
      <w:pPr>
        <w:rPr>
          <w:lang w:val="en-US"/>
        </w:rPr>
      </w:pPr>
      <w:r>
        <w:rPr>
          <w:noProof/>
          <w:lang w:val="de-DE" w:eastAsia="de-DE"/>
        </w:rPr>
        <w:drawing>
          <wp:inline distT="0" distB="0" distL="0" distR="0" wp14:anchorId="2A336E16" wp14:editId="12131551">
            <wp:extent cx="4964768" cy="174117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jn\AppData\Local\Microsoft\Windows\INetCache\Content.Word\R15 WUS wo R15 WUS.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964768" cy="1741170"/>
                    </a:xfrm>
                    <a:prstGeom prst="rect">
                      <a:avLst/>
                    </a:prstGeom>
                    <a:noFill/>
                    <a:ln>
                      <a:noFill/>
                    </a:ln>
                  </pic:spPr>
                </pic:pic>
              </a:graphicData>
            </a:graphic>
          </wp:inline>
        </w:drawing>
      </w:r>
    </w:p>
    <w:p w:rsidR="00A4714A" w:rsidRPr="00572652" w:rsidRDefault="00A4714A" w:rsidP="00572652">
      <w:pPr>
        <w:pStyle w:val="Caption"/>
      </w:pPr>
      <w:bookmarkStart w:id="3" w:name="_Ref525840165"/>
      <w:r w:rsidRPr="00572652">
        <w:t xml:space="preserve">Figure </w:t>
      </w:r>
      <w:r w:rsidRPr="00572652">
        <w:fldChar w:fldCharType="begin"/>
      </w:r>
      <w:r w:rsidRPr="00572652">
        <w:instrText xml:space="preserve"> SEQ Figure \* ARABIC </w:instrText>
      </w:r>
      <w:r w:rsidRPr="00572652">
        <w:fldChar w:fldCharType="separate"/>
      </w:r>
      <w:r w:rsidR="006536DB">
        <w:rPr>
          <w:noProof/>
        </w:rPr>
        <w:t>2</w:t>
      </w:r>
      <w:r w:rsidRPr="00572652">
        <w:fldChar w:fldCharType="end"/>
      </w:r>
      <w:bookmarkEnd w:id="3"/>
      <w:r w:rsidRPr="00572652">
        <w:t xml:space="preserve"> </w:t>
      </w:r>
      <w:r w:rsidR="00E04684">
        <w:t>–</w:t>
      </w:r>
      <w:r w:rsidRPr="00572652">
        <w:t xml:space="preserve"> </w:t>
      </w:r>
      <w:r w:rsidR="00E04684">
        <w:t>Rel-16 WUS s</w:t>
      </w:r>
      <w:r w:rsidRPr="00572652">
        <w:t>ubgrouping w/o R</w:t>
      </w:r>
      <w:r w:rsidR="00E04684">
        <w:t>el-</w:t>
      </w:r>
      <w:r w:rsidRPr="00572652">
        <w:t>15 WUS</w:t>
      </w:r>
      <w:r w:rsidR="00CE57CF">
        <w:t xml:space="preserve"> – Option B/C</w:t>
      </w:r>
    </w:p>
    <w:p w:rsidR="00847945" w:rsidRDefault="006C620C" w:rsidP="004B6D1F">
      <w:pPr>
        <w:rPr>
          <w:lang w:val="en-US"/>
        </w:rPr>
      </w:pPr>
      <w:r>
        <w:rPr>
          <w:lang w:val="en-US"/>
        </w:rPr>
        <w:t>I addition to a R</w:t>
      </w:r>
      <w:r w:rsidR="003457E6">
        <w:rPr>
          <w:lang w:val="en-US"/>
        </w:rPr>
        <w:t>el-</w:t>
      </w:r>
      <w:r>
        <w:rPr>
          <w:lang w:val="en-US"/>
        </w:rPr>
        <w:t>15 beacon</w:t>
      </w:r>
      <w:r w:rsidR="006536DB">
        <w:rPr>
          <w:lang w:val="en-US"/>
        </w:rPr>
        <w:t>, a 2-</w:t>
      </w:r>
      <w:r>
        <w:rPr>
          <w:lang w:val="en-US"/>
        </w:rPr>
        <w:t xml:space="preserve">step </w:t>
      </w:r>
      <w:r w:rsidR="003457E6">
        <w:rPr>
          <w:lang w:val="en-US"/>
        </w:rPr>
        <w:t>Rel-16</w:t>
      </w:r>
      <w:r>
        <w:rPr>
          <w:lang w:val="en-US"/>
        </w:rPr>
        <w:t xml:space="preserve"> WUS with CMD WUS sequence for each step allows sub</w:t>
      </w:r>
      <w:r w:rsidR="00E04684">
        <w:rPr>
          <w:lang w:val="en-US"/>
        </w:rPr>
        <w:t>-sub</w:t>
      </w:r>
      <w:r>
        <w:rPr>
          <w:lang w:val="en-US"/>
        </w:rPr>
        <w:t>grouping and fine</w:t>
      </w:r>
      <w:r w:rsidR="00847945">
        <w:rPr>
          <w:lang w:val="en-US"/>
        </w:rPr>
        <w:t xml:space="preserve"> granular wake-up functionality – i.e.</w:t>
      </w:r>
      <w:r w:rsidR="00572652">
        <w:rPr>
          <w:lang w:val="en-US"/>
        </w:rPr>
        <w:t xml:space="preserve"> for service related wake-up.</w:t>
      </w:r>
    </w:p>
    <w:p w:rsidR="006C620C" w:rsidRDefault="003457E6" w:rsidP="00572652">
      <w:pPr>
        <w:pStyle w:val="TDocProposal"/>
      </w:pPr>
      <w:r>
        <w:t>Rel-16</w:t>
      </w:r>
      <w:r w:rsidR="00572652">
        <w:t xml:space="preserve"> WUS uses R</w:t>
      </w:r>
      <w:r>
        <w:t>el-</w:t>
      </w:r>
      <w:r w:rsidR="00572652">
        <w:t xml:space="preserve">15 WUS as a supergroup-beacon and </w:t>
      </w:r>
      <w:r w:rsidR="006C620C">
        <w:t xml:space="preserve">introduces a </w:t>
      </w:r>
      <w:r w:rsidR="009230FD">
        <w:t>2</w:t>
      </w:r>
      <w:r w:rsidR="006C620C">
        <w:t xml:space="preserve">-step addressing scheme to allow </w:t>
      </w:r>
      <w:r w:rsidR="00312595">
        <w:t xml:space="preserve">for a more specific </w:t>
      </w:r>
      <w:r w:rsidR="006C620C">
        <w:t>subgrouping.</w:t>
      </w:r>
    </w:p>
    <w:p w:rsidR="00572652" w:rsidRDefault="00572652" w:rsidP="00572652">
      <w:pPr>
        <w:pStyle w:val="TDocProposal"/>
        <w:numPr>
          <w:ilvl w:val="0"/>
          <w:numId w:val="0"/>
        </w:numPr>
        <w:rPr>
          <w:b w:val="0"/>
        </w:rPr>
      </w:pPr>
      <w:r>
        <w:rPr>
          <w:b w:val="0"/>
        </w:rPr>
        <w:t xml:space="preserve">During RAN1#94 no agreement was </w:t>
      </w:r>
      <w:r w:rsidR="00092F2A">
        <w:rPr>
          <w:b w:val="0"/>
        </w:rPr>
        <w:t>made</w:t>
      </w:r>
      <w:r>
        <w:rPr>
          <w:b w:val="0"/>
        </w:rPr>
        <w:t xml:space="preserve"> on the number of groups that </w:t>
      </w:r>
      <w:r w:rsidR="00092F2A">
        <w:rPr>
          <w:b w:val="0"/>
        </w:rPr>
        <w:t xml:space="preserve">should be supported in </w:t>
      </w:r>
      <w:r w:rsidR="003457E6">
        <w:rPr>
          <w:b w:val="0"/>
        </w:rPr>
        <w:t>Rel-16</w:t>
      </w:r>
      <w:r w:rsidR="00092F2A">
        <w:rPr>
          <w:b w:val="0"/>
        </w:rPr>
        <w:t xml:space="preserve"> WUS. Evaluation results </w:t>
      </w:r>
      <w:r w:rsidR="00312595">
        <w:rPr>
          <w:b w:val="0"/>
        </w:rPr>
        <w:t xml:space="preserve">at Fraunhofer IIS </w:t>
      </w:r>
      <w:r w:rsidR="00092F2A">
        <w:rPr>
          <w:b w:val="0"/>
        </w:rPr>
        <w:t xml:space="preserve">of LPWA sensor networks using WUS with addressing show a significant </w:t>
      </w:r>
      <w:r w:rsidR="00312595">
        <w:rPr>
          <w:b w:val="0"/>
        </w:rPr>
        <w:t>decrease</w:t>
      </w:r>
      <w:r w:rsidR="00092F2A">
        <w:rPr>
          <w:b w:val="0"/>
        </w:rPr>
        <w:t xml:space="preserve"> </w:t>
      </w:r>
      <w:r w:rsidR="00312595">
        <w:rPr>
          <w:b w:val="0"/>
        </w:rPr>
        <w:t xml:space="preserve">in </w:t>
      </w:r>
      <w:r w:rsidR="00092F2A">
        <w:rPr>
          <w:b w:val="0"/>
        </w:rPr>
        <w:t xml:space="preserve">energy consumption of the sensor nodes. </w:t>
      </w:r>
      <w:r w:rsidR="00312595">
        <w:rPr>
          <w:b w:val="0"/>
        </w:rPr>
        <w:t>M</w:t>
      </w:r>
      <w:r w:rsidR="00092F2A">
        <w:rPr>
          <w:b w:val="0"/>
        </w:rPr>
        <w:t xml:space="preserve">ore groups with </w:t>
      </w:r>
      <w:r w:rsidR="00312595">
        <w:rPr>
          <w:b w:val="0"/>
        </w:rPr>
        <w:t>sub-</w:t>
      </w:r>
      <w:r w:rsidR="00092F2A">
        <w:rPr>
          <w:b w:val="0"/>
        </w:rPr>
        <w:t>subgrouping decrease the energy consumption of DL transmissions</w:t>
      </w:r>
      <w:r w:rsidR="00312595">
        <w:rPr>
          <w:b w:val="0"/>
        </w:rPr>
        <w:t xml:space="preserve"> due to the lower probability of false alarms</w:t>
      </w:r>
      <w:r w:rsidR="00092F2A">
        <w:rPr>
          <w:b w:val="0"/>
        </w:rPr>
        <w:t>.</w:t>
      </w:r>
    </w:p>
    <w:p w:rsidR="00694344" w:rsidRDefault="00694344" w:rsidP="00694344">
      <w:pPr>
        <w:pStyle w:val="TDocProposal"/>
      </w:pPr>
      <w:r>
        <w:t xml:space="preserve">The </w:t>
      </w:r>
      <w:r w:rsidR="003457E6">
        <w:t>Rel-16</w:t>
      </w:r>
      <w:r>
        <w:t xml:space="preserve"> part of the WUS supports a minimum of 4 </w:t>
      </w:r>
      <w:r w:rsidR="00DC6419">
        <w:t xml:space="preserve">different </w:t>
      </w:r>
      <w:r>
        <w:t>sequences</w:t>
      </w:r>
      <w:r w:rsidR="003457E6">
        <w:t xml:space="preserve"> (=</w:t>
      </w:r>
      <w:r w:rsidR="00DC6419">
        <w:t>subgroups)</w:t>
      </w:r>
      <w:r w:rsidR="00312595">
        <w:t xml:space="preserve"> per step</w:t>
      </w:r>
      <w:r>
        <w:t>.</w:t>
      </w:r>
    </w:p>
    <w:p w:rsidR="00092F2A" w:rsidRPr="00092F2A" w:rsidRDefault="00092F2A" w:rsidP="00092F2A">
      <w:pPr>
        <w:rPr>
          <w:lang w:val="en-US"/>
        </w:rPr>
      </w:pPr>
      <w:r>
        <w:rPr>
          <w:lang w:val="en-US"/>
        </w:rPr>
        <w:t xml:space="preserve">In </w:t>
      </w:r>
      <w:sdt>
        <w:sdtPr>
          <w:rPr>
            <w:lang w:val="en-US"/>
          </w:rPr>
          <w:id w:val="-1800680324"/>
          <w:citation/>
        </w:sdtPr>
        <w:sdtContent>
          <w:r>
            <w:rPr>
              <w:lang w:val="en-US"/>
            </w:rPr>
            <w:fldChar w:fldCharType="begin"/>
          </w:r>
          <w:r w:rsidR="006D2E09">
            <w:rPr>
              <w:lang w:val="en-US"/>
            </w:rPr>
            <w:instrText xml:space="preserve">CITATION RP181873 \l 1033 </w:instrText>
          </w:r>
          <w:r>
            <w:rPr>
              <w:lang w:val="en-US"/>
            </w:rPr>
            <w:fldChar w:fldCharType="separate"/>
          </w:r>
          <w:r w:rsidR="00D91B26" w:rsidRPr="00D91B26">
            <w:rPr>
              <w:noProof/>
              <w:lang w:val="en-US"/>
            </w:rPr>
            <w:t>[2]</w:t>
          </w:r>
          <w:r>
            <w:rPr>
              <w:lang w:val="en-US"/>
            </w:rPr>
            <w:fldChar w:fldCharType="end"/>
          </w:r>
        </w:sdtContent>
      </w:sdt>
      <w:r>
        <w:rPr>
          <w:lang w:val="en-US"/>
        </w:rPr>
        <w:t xml:space="preserve"> there are 5 </w:t>
      </w:r>
      <w:r w:rsidR="00312595">
        <w:rPr>
          <w:lang w:val="en-US"/>
        </w:rPr>
        <w:t>possible option</w:t>
      </w:r>
      <w:r w:rsidR="006D2E09">
        <w:rPr>
          <w:lang w:val="en-US"/>
        </w:rPr>
        <w:t xml:space="preserve">s to base </w:t>
      </w:r>
      <w:r>
        <w:rPr>
          <w:lang w:val="en-US"/>
        </w:rPr>
        <w:t>UE-grouping</w:t>
      </w:r>
      <w:r w:rsidR="006D2E09">
        <w:rPr>
          <w:lang w:val="en-US"/>
        </w:rPr>
        <w:t xml:space="preserve"> upon</w:t>
      </w:r>
      <w:r w:rsidR="00312595">
        <w:rPr>
          <w:lang w:val="en-US"/>
        </w:rPr>
        <w:t>, i.e. UE ID and Services</w:t>
      </w:r>
      <w:r w:rsidR="00E8615F">
        <w:rPr>
          <w:lang w:val="en-US"/>
        </w:rPr>
        <w:t xml:space="preserve">. Supplementary to the proposed 2-step WUS design, </w:t>
      </w:r>
      <w:r w:rsidR="006D2E09">
        <w:rPr>
          <w:lang w:val="en-US"/>
        </w:rPr>
        <w:t xml:space="preserve">using </w:t>
      </w:r>
      <w:r w:rsidR="00E8615F">
        <w:rPr>
          <w:lang w:val="en-US"/>
        </w:rPr>
        <w:t xml:space="preserve">two </w:t>
      </w:r>
      <w:r w:rsidR="00312595">
        <w:rPr>
          <w:lang w:val="en-US"/>
        </w:rPr>
        <w:t>basis</w:t>
      </w:r>
      <w:r w:rsidR="00E8615F">
        <w:rPr>
          <w:lang w:val="en-US"/>
        </w:rPr>
        <w:t xml:space="preserve"> for the grouping are possible. A common denominator is the UE ID, which was proposed by multiple companies (see </w:t>
      </w:r>
      <w:sdt>
        <w:sdtPr>
          <w:rPr>
            <w:lang w:val="en-US"/>
          </w:rPr>
          <w:id w:val="1510101261"/>
          <w:citation/>
        </w:sdtPr>
        <w:sdtContent>
          <w:r w:rsidR="00E8615F">
            <w:rPr>
              <w:lang w:val="en-US"/>
            </w:rPr>
            <w:fldChar w:fldCharType="begin"/>
          </w:r>
          <w:r w:rsidR="00B85EBA">
            <w:rPr>
              <w:lang w:val="en-US"/>
            </w:rPr>
            <w:instrText xml:space="preserve">CITATION R11 \l 1033 </w:instrText>
          </w:r>
          <w:r w:rsidR="00E8615F">
            <w:rPr>
              <w:lang w:val="en-US"/>
            </w:rPr>
            <w:fldChar w:fldCharType="separate"/>
          </w:r>
          <w:r w:rsidR="00D91B26" w:rsidRPr="00D91B26">
            <w:rPr>
              <w:noProof/>
              <w:lang w:val="en-US"/>
            </w:rPr>
            <w:t>[3]</w:t>
          </w:r>
          <w:r w:rsidR="00E8615F">
            <w:rPr>
              <w:lang w:val="en-US"/>
            </w:rPr>
            <w:fldChar w:fldCharType="end"/>
          </w:r>
        </w:sdtContent>
      </w:sdt>
      <w:r w:rsidR="00E8615F">
        <w:rPr>
          <w:lang w:val="en-US"/>
        </w:rPr>
        <w:t xml:space="preserve">). A second </w:t>
      </w:r>
      <w:r w:rsidR="00312595">
        <w:rPr>
          <w:lang w:val="en-US"/>
        </w:rPr>
        <w:t>option</w:t>
      </w:r>
      <w:r w:rsidR="00E8615F">
        <w:rPr>
          <w:lang w:val="en-US"/>
        </w:rPr>
        <w:t xml:space="preserve"> to address different classes of reporting-intervals – and therefore lifetime – is possible. </w:t>
      </w:r>
      <w:r w:rsidR="00715BEE">
        <w:rPr>
          <w:lang w:val="en-US"/>
        </w:rPr>
        <w:t>The DRX/eDRX configuration is an indicator for the energy saving requirements of the devices. The energy saving req. can also be defined as service classes that can be mapped to an WUS address space.</w:t>
      </w:r>
    </w:p>
    <w:p w:rsidR="00694344" w:rsidRDefault="00694344" w:rsidP="00694344">
      <w:pPr>
        <w:pStyle w:val="TDocProposal"/>
      </w:pPr>
      <w:r>
        <w:t xml:space="preserve">The UE-grouping is based on the UE ID. </w:t>
      </w:r>
      <w:r w:rsidR="00572652">
        <w:t xml:space="preserve">A service ID </w:t>
      </w:r>
      <w:r w:rsidR="00312595">
        <w:t>or</w:t>
      </w:r>
      <w:r w:rsidR="00572652">
        <w:t xml:space="preserve"> DRX/eDRX settings might be used for a second level of differentiation.</w:t>
      </w:r>
    </w:p>
    <w:p w:rsidR="00004739" w:rsidRPr="00331E55" w:rsidRDefault="00004739" w:rsidP="0048580E">
      <w:pPr>
        <w:pStyle w:val="Heading1"/>
        <w:jc w:val="both"/>
        <w:rPr>
          <w:rFonts w:eastAsia="Batang"/>
          <w:lang w:val="en-US"/>
        </w:rPr>
      </w:pPr>
      <w:r w:rsidRPr="00331E55">
        <w:rPr>
          <w:rFonts w:eastAsia="Batang"/>
          <w:lang w:val="en-US"/>
        </w:rPr>
        <w:t>Conclusions</w:t>
      </w:r>
    </w:p>
    <w:p w:rsidR="00513B71" w:rsidRDefault="00004739" w:rsidP="005A1D1B">
      <w:pPr>
        <w:pStyle w:val="BodyText"/>
        <w:rPr>
          <w:rFonts w:ascii="Times New Roman" w:eastAsia="Batang" w:hAnsi="Times New Roman"/>
          <w:lang w:val="en-US" w:eastAsia="de-DE"/>
        </w:rPr>
      </w:pPr>
      <w:r w:rsidRPr="003848B9">
        <w:rPr>
          <w:rFonts w:ascii="Times New Roman" w:eastAsia="Batang" w:hAnsi="Times New Roman"/>
          <w:lang w:val="en-US" w:eastAsia="de-DE"/>
        </w:rPr>
        <w:t>In this contribution the following observations and proposals have been made:</w:t>
      </w:r>
    </w:p>
    <w:p w:rsidR="00005808" w:rsidRDefault="00005808" w:rsidP="00005808">
      <w:pPr>
        <w:pStyle w:val="TDocProposal"/>
        <w:numPr>
          <w:ilvl w:val="0"/>
          <w:numId w:val="30"/>
        </w:numPr>
      </w:pPr>
      <w:r>
        <w:t>Rel-16 WUS uses CDM for addressing UE-groups or a combination of CDM and TDM.</w:t>
      </w:r>
    </w:p>
    <w:p w:rsidR="00312595" w:rsidRDefault="00312595" w:rsidP="00312595">
      <w:pPr>
        <w:pStyle w:val="TDocProposal"/>
        <w:numPr>
          <w:ilvl w:val="0"/>
          <w:numId w:val="30"/>
        </w:numPr>
      </w:pPr>
      <w:r>
        <w:t>Rel-16 WUS uses Rel-15 WUS as a supergroup-beacon and introduces a 2-step addressing scheme to allow for a more specific subgrouping.</w:t>
      </w:r>
    </w:p>
    <w:p w:rsidR="00312595" w:rsidRDefault="00312595" w:rsidP="00312595">
      <w:pPr>
        <w:pStyle w:val="TDocProposal"/>
        <w:numPr>
          <w:ilvl w:val="0"/>
          <w:numId w:val="30"/>
        </w:numPr>
      </w:pPr>
      <w:r>
        <w:t>The Rel-16 part of the WUS supports a minimum of 4 different sequences (=subgroups) per step.</w:t>
      </w:r>
    </w:p>
    <w:p w:rsidR="00312595" w:rsidRDefault="00312595" w:rsidP="00312595">
      <w:pPr>
        <w:pStyle w:val="TDocProposal"/>
        <w:numPr>
          <w:ilvl w:val="0"/>
          <w:numId w:val="30"/>
        </w:numPr>
      </w:pPr>
      <w:r>
        <w:t>The UE-grouping is based on the UE ID. A service ID or DRX/eDRX settings might be used for a second level of differentiation.</w:t>
      </w:r>
    </w:p>
    <w:sdt>
      <w:sdtPr>
        <w:id w:val="1429844078"/>
        <w:docPartObj>
          <w:docPartGallery w:val="Bibliographies"/>
          <w:docPartUnique/>
        </w:docPartObj>
      </w:sdtPr>
      <w:sdtEndPr>
        <w:rPr>
          <w:rFonts w:ascii="Times New Roman" w:hAnsi="Times New Roman"/>
          <w:sz w:val="20"/>
          <w:lang w:val="en-GB" w:eastAsia="ja-JP"/>
        </w:rPr>
      </w:sdtEndPr>
      <w:sdtContent>
        <w:p w:rsidR="00757C26" w:rsidRDefault="00757C26">
          <w:pPr>
            <w:pStyle w:val="Heading1"/>
          </w:pPr>
          <w:r>
            <w:t>References</w:t>
          </w:r>
        </w:p>
        <w:sdt>
          <w:sdtPr>
            <w:id w:val="-573587230"/>
            <w:bibliography/>
          </w:sdtPr>
          <w:sdtContent>
            <w:p w:rsidR="00D91B26" w:rsidRDefault="00757C26" w:rsidP="00F30AA8">
              <w:pPr>
                <w:rPr>
                  <w:noProof/>
                  <w:lang w:val="de-DE" w:eastAsia="de-DE"/>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64"/>
              </w:tblGrid>
              <w:tr w:rsidR="00D91B26">
                <w:trPr>
                  <w:divId w:val="1318606841"/>
                  <w:tblCellSpacing w:w="15" w:type="dxa"/>
                </w:trPr>
                <w:tc>
                  <w:tcPr>
                    <w:tcW w:w="50" w:type="pct"/>
                    <w:hideMark/>
                  </w:tcPr>
                  <w:p w:rsidR="00D91B26" w:rsidRDefault="00D91B26">
                    <w:pPr>
                      <w:pStyle w:val="Bibliography"/>
                      <w:rPr>
                        <w:noProof/>
                        <w:sz w:val="24"/>
                        <w:szCs w:val="24"/>
                      </w:rPr>
                    </w:pPr>
                    <w:r>
                      <w:rPr>
                        <w:noProof/>
                      </w:rPr>
                      <w:t xml:space="preserve">[1] </w:t>
                    </w:r>
                  </w:p>
                </w:tc>
                <w:tc>
                  <w:tcPr>
                    <w:tcW w:w="0" w:type="auto"/>
                    <w:hideMark/>
                  </w:tcPr>
                  <w:p w:rsidR="00D91B26" w:rsidRDefault="00D91B26">
                    <w:pPr>
                      <w:pStyle w:val="Bibliography"/>
                      <w:rPr>
                        <w:noProof/>
                      </w:rPr>
                    </w:pPr>
                    <w:r>
                      <w:rPr>
                        <w:noProof/>
                      </w:rPr>
                      <w:t>„RP-181878: "WID: Additional MTC enhancements for LTE"“.</w:t>
                    </w:r>
                  </w:p>
                </w:tc>
              </w:tr>
              <w:tr w:rsidR="00D91B26">
                <w:trPr>
                  <w:divId w:val="1318606841"/>
                  <w:tblCellSpacing w:w="15" w:type="dxa"/>
                </w:trPr>
                <w:tc>
                  <w:tcPr>
                    <w:tcW w:w="50" w:type="pct"/>
                    <w:hideMark/>
                  </w:tcPr>
                  <w:p w:rsidR="00D91B26" w:rsidRDefault="00D91B26">
                    <w:pPr>
                      <w:pStyle w:val="Bibliography"/>
                      <w:rPr>
                        <w:noProof/>
                      </w:rPr>
                    </w:pPr>
                    <w:r>
                      <w:rPr>
                        <w:noProof/>
                      </w:rPr>
                      <w:t xml:space="preserve">[2] </w:t>
                    </w:r>
                  </w:p>
                </w:tc>
                <w:tc>
                  <w:tcPr>
                    <w:tcW w:w="0" w:type="auto"/>
                    <w:hideMark/>
                  </w:tcPr>
                  <w:p w:rsidR="00D91B26" w:rsidRDefault="00D91B26">
                    <w:pPr>
                      <w:pStyle w:val="Bibliography"/>
                      <w:rPr>
                        <w:noProof/>
                      </w:rPr>
                    </w:pPr>
                    <w:r>
                      <w:rPr>
                        <w:noProof/>
                      </w:rPr>
                      <w:t>„RP-181873: "Status Report to TSG - Additional MTC enhancements for LTE"“.</w:t>
                    </w:r>
                  </w:p>
                </w:tc>
              </w:tr>
              <w:tr w:rsidR="00D91B26">
                <w:trPr>
                  <w:divId w:val="1318606841"/>
                  <w:tblCellSpacing w:w="15" w:type="dxa"/>
                </w:trPr>
                <w:tc>
                  <w:tcPr>
                    <w:tcW w:w="50" w:type="pct"/>
                    <w:hideMark/>
                  </w:tcPr>
                  <w:p w:rsidR="00D91B26" w:rsidRDefault="00D91B26">
                    <w:pPr>
                      <w:pStyle w:val="Bibliography"/>
                      <w:rPr>
                        <w:noProof/>
                      </w:rPr>
                    </w:pPr>
                    <w:r>
                      <w:rPr>
                        <w:noProof/>
                      </w:rPr>
                      <w:t xml:space="preserve">[3] </w:t>
                    </w:r>
                  </w:p>
                </w:tc>
                <w:tc>
                  <w:tcPr>
                    <w:tcW w:w="0" w:type="auto"/>
                    <w:hideMark/>
                  </w:tcPr>
                  <w:p w:rsidR="00D91B26" w:rsidRDefault="00D91B26">
                    <w:pPr>
                      <w:pStyle w:val="Bibliography"/>
                      <w:rPr>
                        <w:noProof/>
                      </w:rPr>
                    </w:pPr>
                    <w:r>
                      <w:rPr>
                        <w:noProof/>
                      </w:rPr>
                      <w:t>„R1-1809521: "Summary of 6.2.1.1 UE group MWUS"“.</w:t>
                    </w:r>
                  </w:p>
                </w:tc>
              </w:tr>
            </w:tbl>
            <w:p w:rsidR="00D91B26" w:rsidRDefault="00D91B26">
              <w:pPr>
                <w:divId w:val="1318606841"/>
                <w:rPr>
                  <w:noProof/>
                </w:rPr>
              </w:pPr>
            </w:p>
            <w:p w:rsidR="00D1448B" w:rsidRDefault="00757C26" w:rsidP="00F30AA8">
              <w:r>
                <w:rPr>
                  <w:b/>
                  <w:bCs/>
                  <w:noProof/>
                </w:rPr>
                <w:fldChar w:fldCharType="end"/>
              </w:r>
            </w:p>
          </w:sdtContent>
        </w:sdt>
      </w:sdtContent>
    </w:sdt>
    <w:sectPr w:rsidR="00D1448B" w:rsidSect="00383095">
      <w:footnotePr>
        <w:numRestart w:val="eachSect"/>
      </w:footnotePr>
      <w:pgSz w:w="11907" w:h="16840" w:code="9"/>
      <w:pgMar w:top="1417" w:right="1417" w:bottom="1134" w:left="1417"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7A8" w:rsidRDefault="001907A8">
      <w:r>
        <w:separator/>
      </w:r>
    </w:p>
    <w:p w:rsidR="001907A8" w:rsidRDefault="001907A8"/>
  </w:endnote>
  <w:endnote w:type="continuationSeparator" w:id="0">
    <w:p w:rsidR="001907A8" w:rsidRDefault="001907A8">
      <w:r>
        <w:continuationSeparator/>
      </w:r>
    </w:p>
    <w:p w:rsidR="001907A8" w:rsidRDefault="00190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7A8" w:rsidRDefault="001907A8">
      <w:r>
        <w:separator/>
      </w:r>
    </w:p>
    <w:p w:rsidR="001907A8" w:rsidRDefault="001907A8"/>
  </w:footnote>
  <w:footnote w:type="continuationSeparator" w:id="0">
    <w:p w:rsidR="001907A8" w:rsidRDefault="001907A8">
      <w:r>
        <w:continuationSeparator/>
      </w:r>
    </w:p>
    <w:p w:rsidR="001907A8" w:rsidRDefault="001907A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BCA605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3D7043"/>
    <w:multiLevelType w:val="hybridMultilevel"/>
    <w:tmpl w:val="31BC6B5C"/>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0D6939E3"/>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A878DB"/>
    <w:multiLevelType w:val="hybridMultilevel"/>
    <w:tmpl w:val="B5EEE2BA"/>
    <w:lvl w:ilvl="0" w:tplc="84EA8B24">
      <w:start w:val="1"/>
      <w:numFmt w:val="bullet"/>
      <w:pStyle w:val="ListParagraph"/>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6A20C6"/>
    <w:multiLevelType w:val="hybridMultilevel"/>
    <w:tmpl w:val="764A5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A182E11"/>
    <w:multiLevelType w:val="hybridMultilevel"/>
    <w:tmpl w:val="ECDEB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C0E7B3B"/>
    <w:multiLevelType w:val="hybridMultilevel"/>
    <w:tmpl w:val="98F444CA"/>
    <w:lvl w:ilvl="0" w:tplc="1506F1E6">
      <w:start w:val="1"/>
      <w:numFmt w:val="bullet"/>
      <w:lvlText w:val="-"/>
      <w:lvlJc w:val="left"/>
      <w:pPr>
        <w:ind w:left="720" w:hanging="360"/>
      </w:pPr>
      <w:rPr>
        <w:rFonts w:ascii="Times New Roman" w:eastAsia="Times New Roman"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47D1B9E"/>
    <w:multiLevelType w:val="hybridMultilevel"/>
    <w:tmpl w:val="7AAA44A4"/>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2ED30B4E"/>
    <w:multiLevelType w:val="hybridMultilevel"/>
    <w:tmpl w:val="2A82015E"/>
    <w:lvl w:ilvl="0" w:tplc="F4E4853E">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1" w15:restartNumberingAfterBreak="0">
    <w:nsid w:val="40A70509"/>
    <w:multiLevelType w:val="hybridMultilevel"/>
    <w:tmpl w:val="E2DA4CB6"/>
    <w:lvl w:ilvl="0" w:tplc="78A864BC">
      <w:start w:val="1"/>
      <w:numFmt w:val="decimal"/>
      <w:lvlText w:val="Propos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22A7A54"/>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417C1A"/>
    <w:multiLevelType w:val="hybridMultilevel"/>
    <w:tmpl w:val="77824C7A"/>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50E35AE8"/>
    <w:multiLevelType w:val="hybridMultilevel"/>
    <w:tmpl w:val="83B4141C"/>
    <w:lvl w:ilvl="0" w:tplc="FDF8DF42">
      <w:start w:val="1"/>
      <w:numFmt w:val="decimal"/>
      <w:pStyle w:val="TDocProposal"/>
      <w:lvlText w:val="Proposal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570481"/>
    <w:multiLevelType w:val="hybridMultilevel"/>
    <w:tmpl w:val="C23C2964"/>
    <w:lvl w:ilvl="0" w:tplc="897A92CA">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FC7AD6"/>
    <w:multiLevelType w:val="hybridMultilevel"/>
    <w:tmpl w:val="1700C374"/>
    <w:lvl w:ilvl="0" w:tplc="776CEAD8">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A27700A"/>
    <w:multiLevelType w:val="hybridMultilevel"/>
    <w:tmpl w:val="E9EC933E"/>
    <w:lvl w:ilvl="0" w:tplc="B448E23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2" w15:restartNumberingAfterBreak="0">
    <w:nsid w:val="7B9D0A4A"/>
    <w:multiLevelType w:val="hybridMultilevel"/>
    <w:tmpl w:val="C0A28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20"/>
    <w:lvlOverride w:ilvl="0"/>
    <w:lvlOverride w:ilvl="1"/>
    <w:lvlOverride w:ilvl="2"/>
    <w:lvlOverride w:ilvl="3"/>
    <w:lvlOverride w:ilvl="4"/>
    <w:lvlOverride w:ilvl="5"/>
    <w:lvlOverride w:ilvl="6"/>
    <w:lvlOverride w:ilvl="7"/>
    <w:lvlOverride w:ilvl="8"/>
  </w:num>
  <w:num w:numId="14">
    <w:abstractNumId w:val="25"/>
    <w:lvlOverride w:ilvl="0"/>
    <w:lvlOverride w:ilvl="1"/>
    <w:lvlOverride w:ilvl="2"/>
    <w:lvlOverride w:ilvl="3"/>
    <w:lvlOverride w:ilvl="4"/>
    <w:lvlOverride w:ilvl="5"/>
    <w:lvlOverride w:ilvl="6"/>
    <w:lvlOverride w:ilvl="7"/>
    <w:lvlOverride w:ilvl="8"/>
  </w:num>
  <w:num w:numId="15">
    <w:abstractNumId w:val="31"/>
    <w:lvlOverride w:ilvl="0"/>
    <w:lvlOverride w:ilvl="1"/>
    <w:lvlOverride w:ilvl="2"/>
    <w:lvlOverride w:ilvl="3"/>
    <w:lvlOverride w:ilvl="4"/>
    <w:lvlOverride w:ilvl="5"/>
    <w:lvlOverride w:ilvl="6"/>
    <w:lvlOverride w:ilvl="7"/>
    <w:lvlOverride w:ilvl="8"/>
  </w:num>
  <w:num w:numId="16">
    <w:abstractNumId w:val="8"/>
    <w:lvlOverride w:ilvl="0"/>
    <w:lvlOverride w:ilvl="1"/>
    <w:lvlOverride w:ilvl="2"/>
    <w:lvlOverride w:ilvl="3"/>
    <w:lvlOverride w:ilvl="4"/>
    <w:lvlOverride w:ilvl="5"/>
    <w:lvlOverride w:ilvl="6"/>
    <w:lvlOverride w:ilvl="7"/>
    <w:lvlOverride w:ilvl="8"/>
  </w:num>
  <w:num w:numId="17">
    <w:abstractNumId w:val="11"/>
  </w:num>
  <w:num w:numId="18">
    <w:abstractNumId w:val="22"/>
  </w:num>
  <w:num w:numId="1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num>
  <w:num w:numId="24">
    <w:abstractNumId w:val="11"/>
  </w:num>
  <w:num w:numId="25">
    <w:abstractNumId w:val="21"/>
  </w:num>
  <w:num w:numId="26">
    <w:abstractNumId w:val="10"/>
  </w:num>
  <w:num w:numId="27">
    <w:abstractNumId w:val="26"/>
  </w:num>
  <w:num w:numId="28">
    <w:abstractNumId w:val="19"/>
  </w:num>
  <w:num w:numId="29">
    <w:abstractNumId w:val="28"/>
  </w:num>
  <w:num w:numId="30">
    <w:abstractNumId w:val="26"/>
    <w:lvlOverride w:ilvl="0">
      <w:startOverride w:val="1"/>
    </w:lvlOverride>
  </w:num>
  <w:num w:numId="31">
    <w:abstractNumId w:val="27"/>
  </w:num>
  <w:num w:numId="32">
    <w:abstractNumId w:val="24"/>
  </w:num>
  <w:num w:numId="33">
    <w:abstractNumId w:val="17"/>
  </w:num>
  <w:num w:numId="34">
    <w:abstractNumId w:val="30"/>
  </w:num>
  <w:num w:numId="35">
    <w:abstractNumId w:val="29"/>
  </w:num>
  <w:num w:numId="36">
    <w:abstractNumId w:val="15"/>
    <w:lvlOverride w:ilvl="0"/>
    <w:lvlOverride w:ilvl="1"/>
    <w:lvlOverride w:ilvl="2"/>
    <w:lvlOverride w:ilvl="3"/>
    <w:lvlOverride w:ilvl="4"/>
    <w:lvlOverride w:ilvl="5"/>
    <w:lvlOverride w:ilvl="6"/>
    <w:lvlOverride w:ilvl="7"/>
    <w:lvlOverride w:ilvl="8"/>
  </w:num>
  <w:num w:numId="37">
    <w:abstractNumId w:val="32"/>
    <w:lvlOverride w:ilvl="0"/>
    <w:lvlOverride w:ilvl="1"/>
    <w:lvlOverride w:ilvl="2"/>
    <w:lvlOverride w:ilvl="3"/>
    <w:lvlOverride w:ilvl="4"/>
    <w:lvlOverride w:ilvl="5"/>
    <w:lvlOverride w:ilvl="6"/>
    <w:lvlOverride w:ilvl="7"/>
    <w:lvlOverride w:ilvl="8"/>
  </w:num>
  <w:num w:numId="38">
    <w:abstractNumId w:val="16"/>
    <w:lvlOverride w:ilvl="0"/>
    <w:lvlOverride w:ilvl="1"/>
    <w:lvlOverride w:ilvl="2"/>
    <w:lvlOverride w:ilvl="3"/>
    <w:lvlOverride w:ilvl="4"/>
    <w:lvlOverride w:ilvl="5"/>
    <w:lvlOverride w:ilvl="6"/>
    <w:lvlOverride w:ilvl="7"/>
    <w:lvlOverride w:ilvl="8"/>
  </w:num>
  <w:num w:numId="39">
    <w:abstractNumId w:val="13"/>
  </w:num>
  <w:num w:numId="40">
    <w:abstractNumId w:val="13"/>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17B3"/>
    <w:rsid w:val="00001E11"/>
    <w:rsid w:val="000021D4"/>
    <w:rsid w:val="00003AAC"/>
    <w:rsid w:val="00004139"/>
    <w:rsid w:val="00004739"/>
    <w:rsid w:val="00005524"/>
    <w:rsid w:val="00005808"/>
    <w:rsid w:val="00005ABC"/>
    <w:rsid w:val="00007DCF"/>
    <w:rsid w:val="00010E1B"/>
    <w:rsid w:val="00011627"/>
    <w:rsid w:val="00012A29"/>
    <w:rsid w:val="00014F30"/>
    <w:rsid w:val="00017797"/>
    <w:rsid w:val="00023116"/>
    <w:rsid w:val="00023231"/>
    <w:rsid w:val="00025661"/>
    <w:rsid w:val="00032F43"/>
    <w:rsid w:val="00033397"/>
    <w:rsid w:val="00035E2B"/>
    <w:rsid w:val="00036040"/>
    <w:rsid w:val="000370CD"/>
    <w:rsid w:val="00040095"/>
    <w:rsid w:val="000427AE"/>
    <w:rsid w:val="00043938"/>
    <w:rsid w:val="0004454B"/>
    <w:rsid w:val="00044A39"/>
    <w:rsid w:val="00046045"/>
    <w:rsid w:val="00046ACB"/>
    <w:rsid w:val="00047320"/>
    <w:rsid w:val="00051834"/>
    <w:rsid w:val="0005302E"/>
    <w:rsid w:val="00053849"/>
    <w:rsid w:val="00053AB5"/>
    <w:rsid w:val="00054050"/>
    <w:rsid w:val="00054A22"/>
    <w:rsid w:val="00056061"/>
    <w:rsid w:val="0005629B"/>
    <w:rsid w:val="000563F6"/>
    <w:rsid w:val="00060FFF"/>
    <w:rsid w:val="0006336B"/>
    <w:rsid w:val="00063F12"/>
    <w:rsid w:val="000655A6"/>
    <w:rsid w:val="000707F0"/>
    <w:rsid w:val="00072561"/>
    <w:rsid w:val="000728F4"/>
    <w:rsid w:val="00073C98"/>
    <w:rsid w:val="000762FA"/>
    <w:rsid w:val="00076445"/>
    <w:rsid w:val="00080512"/>
    <w:rsid w:val="000808DD"/>
    <w:rsid w:val="00081254"/>
    <w:rsid w:val="000812F7"/>
    <w:rsid w:val="000816A6"/>
    <w:rsid w:val="000822F8"/>
    <w:rsid w:val="0008231C"/>
    <w:rsid w:val="00083105"/>
    <w:rsid w:val="00084523"/>
    <w:rsid w:val="00086590"/>
    <w:rsid w:val="00090A78"/>
    <w:rsid w:val="00090E37"/>
    <w:rsid w:val="00091418"/>
    <w:rsid w:val="00092F2A"/>
    <w:rsid w:val="0009473E"/>
    <w:rsid w:val="000953E9"/>
    <w:rsid w:val="000955FF"/>
    <w:rsid w:val="00097F06"/>
    <w:rsid w:val="000A37F5"/>
    <w:rsid w:val="000A45F7"/>
    <w:rsid w:val="000A4959"/>
    <w:rsid w:val="000A5044"/>
    <w:rsid w:val="000A52F1"/>
    <w:rsid w:val="000A5C5F"/>
    <w:rsid w:val="000B06B8"/>
    <w:rsid w:val="000B2C00"/>
    <w:rsid w:val="000B6FBC"/>
    <w:rsid w:val="000C1CD5"/>
    <w:rsid w:val="000C3743"/>
    <w:rsid w:val="000C3BB2"/>
    <w:rsid w:val="000C4A12"/>
    <w:rsid w:val="000C64BE"/>
    <w:rsid w:val="000C689D"/>
    <w:rsid w:val="000D0D1A"/>
    <w:rsid w:val="000D58AB"/>
    <w:rsid w:val="000D7F17"/>
    <w:rsid w:val="000E5697"/>
    <w:rsid w:val="000E7002"/>
    <w:rsid w:val="000E77EE"/>
    <w:rsid w:val="000F03BD"/>
    <w:rsid w:val="000F0C56"/>
    <w:rsid w:val="000F1E5E"/>
    <w:rsid w:val="000F20CD"/>
    <w:rsid w:val="000F38A1"/>
    <w:rsid w:val="000F4ED2"/>
    <w:rsid w:val="000F56D0"/>
    <w:rsid w:val="000F7EBA"/>
    <w:rsid w:val="00100CAC"/>
    <w:rsid w:val="00101638"/>
    <w:rsid w:val="0010167B"/>
    <w:rsid w:val="00101A1C"/>
    <w:rsid w:val="001023D9"/>
    <w:rsid w:val="00103453"/>
    <w:rsid w:val="00103BD0"/>
    <w:rsid w:val="00106255"/>
    <w:rsid w:val="00106855"/>
    <w:rsid w:val="001069A6"/>
    <w:rsid w:val="00106A07"/>
    <w:rsid w:val="00106DB2"/>
    <w:rsid w:val="00107266"/>
    <w:rsid w:val="0011183D"/>
    <w:rsid w:val="00112C3C"/>
    <w:rsid w:val="001141C1"/>
    <w:rsid w:val="00115212"/>
    <w:rsid w:val="001204F9"/>
    <w:rsid w:val="00121511"/>
    <w:rsid w:val="0012287F"/>
    <w:rsid w:val="0012359A"/>
    <w:rsid w:val="00126A02"/>
    <w:rsid w:val="001274F9"/>
    <w:rsid w:val="00127C62"/>
    <w:rsid w:val="00132383"/>
    <w:rsid w:val="00133650"/>
    <w:rsid w:val="00134F87"/>
    <w:rsid w:val="00136C8F"/>
    <w:rsid w:val="0014083B"/>
    <w:rsid w:val="00142F60"/>
    <w:rsid w:val="00146CFB"/>
    <w:rsid w:val="00150BC5"/>
    <w:rsid w:val="00150BFD"/>
    <w:rsid w:val="001516E4"/>
    <w:rsid w:val="001525CC"/>
    <w:rsid w:val="00154F2C"/>
    <w:rsid w:val="00156AA0"/>
    <w:rsid w:val="00157E7A"/>
    <w:rsid w:val="0016112E"/>
    <w:rsid w:val="00161B79"/>
    <w:rsid w:val="001622C3"/>
    <w:rsid w:val="001653CC"/>
    <w:rsid w:val="00170369"/>
    <w:rsid w:val="0017357E"/>
    <w:rsid w:val="00173840"/>
    <w:rsid w:val="00174F23"/>
    <w:rsid w:val="00176BF3"/>
    <w:rsid w:val="001773AC"/>
    <w:rsid w:val="0018047C"/>
    <w:rsid w:val="0018173F"/>
    <w:rsid w:val="00183240"/>
    <w:rsid w:val="001901F2"/>
    <w:rsid w:val="001907A8"/>
    <w:rsid w:val="00190E5A"/>
    <w:rsid w:val="00191EBE"/>
    <w:rsid w:val="001978D7"/>
    <w:rsid w:val="00197998"/>
    <w:rsid w:val="001A0E61"/>
    <w:rsid w:val="001A170B"/>
    <w:rsid w:val="001A33AB"/>
    <w:rsid w:val="001A3EC1"/>
    <w:rsid w:val="001A7286"/>
    <w:rsid w:val="001A7FF6"/>
    <w:rsid w:val="001B1E48"/>
    <w:rsid w:val="001B2707"/>
    <w:rsid w:val="001B5889"/>
    <w:rsid w:val="001B5C81"/>
    <w:rsid w:val="001B71DD"/>
    <w:rsid w:val="001B7E53"/>
    <w:rsid w:val="001C097C"/>
    <w:rsid w:val="001C0E9A"/>
    <w:rsid w:val="001C1FFF"/>
    <w:rsid w:val="001C5AAC"/>
    <w:rsid w:val="001C5EF5"/>
    <w:rsid w:val="001C73E2"/>
    <w:rsid w:val="001C7DD1"/>
    <w:rsid w:val="001D02C2"/>
    <w:rsid w:val="001D25DA"/>
    <w:rsid w:val="001D5FA2"/>
    <w:rsid w:val="001D62FF"/>
    <w:rsid w:val="001E1F86"/>
    <w:rsid w:val="001F11C2"/>
    <w:rsid w:val="001F168B"/>
    <w:rsid w:val="001F3A83"/>
    <w:rsid w:val="001F58EE"/>
    <w:rsid w:val="001F5F4B"/>
    <w:rsid w:val="0020160F"/>
    <w:rsid w:val="00202DA0"/>
    <w:rsid w:val="00202EB1"/>
    <w:rsid w:val="00203D5F"/>
    <w:rsid w:val="002045F7"/>
    <w:rsid w:val="00206835"/>
    <w:rsid w:val="002071D3"/>
    <w:rsid w:val="00207ED7"/>
    <w:rsid w:val="00211024"/>
    <w:rsid w:val="00211932"/>
    <w:rsid w:val="002121E4"/>
    <w:rsid w:val="00212C8C"/>
    <w:rsid w:val="00213176"/>
    <w:rsid w:val="00214A77"/>
    <w:rsid w:val="002152CD"/>
    <w:rsid w:val="00222BC8"/>
    <w:rsid w:val="00222EA7"/>
    <w:rsid w:val="00224A3D"/>
    <w:rsid w:val="00225E1F"/>
    <w:rsid w:val="0023080E"/>
    <w:rsid w:val="002318B8"/>
    <w:rsid w:val="00233E5C"/>
    <w:rsid w:val="0023411F"/>
    <w:rsid w:val="002347A2"/>
    <w:rsid w:val="00235478"/>
    <w:rsid w:val="0023761E"/>
    <w:rsid w:val="00237D65"/>
    <w:rsid w:val="00240A64"/>
    <w:rsid w:val="00240ADE"/>
    <w:rsid w:val="002432FD"/>
    <w:rsid w:val="002461ED"/>
    <w:rsid w:val="00247216"/>
    <w:rsid w:val="002510A7"/>
    <w:rsid w:val="00252EEB"/>
    <w:rsid w:val="00254D28"/>
    <w:rsid w:val="0025681D"/>
    <w:rsid w:val="0025777D"/>
    <w:rsid w:val="002635AF"/>
    <w:rsid w:val="00264D6A"/>
    <w:rsid w:val="00266662"/>
    <w:rsid w:val="00266891"/>
    <w:rsid w:val="00266CF5"/>
    <w:rsid w:val="00267FF9"/>
    <w:rsid w:val="002707D3"/>
    <w:rsid w:val="00270A7F"/>
    <w:rsid w:val="00273854"/>
    <w:rsid w:val="0027559C"/>
    <w:rsid w:val="0027783A"/>
    <w:rsid w:val="002802E9"/>
    <w:rsid w:val="002806CE"/>
    <w:rsid w:val="00281213"/>
    <w:rsid w:val="002846BA"/>
    <w:rsid w:val="00285829"/>
    <w:rsid w:val="00285CBC"/>
    <w:rsid w:val="002916B9"/>
    <w:rsid w:val="002917F8"/>
    <w:rsid w:val="0029188E"/>
    <w:rsid w:val="002936A2"/>
    <w:rsid w:val="00293F69"/>
    <w:rsid w:val="00294103"/>
    <w:rsid w:val="0029651F"/>
    <w:rsid w:val="002A1878"/>
    <w:rsid w:val="002A6A2F"/>
    <w:rsid w:val="002B0088"/>
    <w:rsid w:val="002B0AFA"/>
    <w:rsid w:val="002B4995"/>
    <w:rsid w:val="002B49A4"/>
    <w:rsid w:val="002B72D2"/>
    <w:rsid w:val="002C1656"/>
    <w:rsid w:val="002C2E97"/>
    <w:rsid w:val="002C3C2A"/>
    <w:rsid w:val="002C723B"/>
    <w:rsid w:val="002D743A"/>
    <w:rsid w:val="002E4245"/>
    <w:rsid w:val="002E663B"/>
    <w:rsid w:val="002F00BD"/>
    <w:rsid w:val="002F061B"/>
    <w:rsid w:val="002F3E28"/>
    <w:rsid w:val="002F611F"/>
    <w:rsid w:val="002F64DB"/>
    <w:rsid w:val="002F6727"/>
    <w:rsid w:val="003012F7"/>
    <w:rsid w:val="003017C0"/>
    <w:rsid w:val="0030374A"/>
    <w:rsid w:val="00303B7F"/>
    <w:rsid w:val="00303EB9"/>
    <w:rsid w:val="00304762"/>
    <w:rsid w:val="0030568F"/>
    <w:rsid w:val="003062B4"/>
    <w:rsid w:val="0030759C"/>
    <w:rsid w:val="00310E99"/>
    <w:rsid w:val="00312595"/>
    <w:rsid w:val="00316EE9"/>
    <w:rsid w:val="003172DC"/>
    <w:rsid w:val="00317C4F"/>
    <w:rsid w:val="00317F1D"/>
    <w:rsid w:val="00317FD4"/>
    <w:rsid w:val="003232DA"/>
    <w:rsid w:val="00323C4C"/>
    <w:rsid w:val="003241D3"/>
    <w:rsid w:val="003256C5"/>
    <w:rsid w:val="00326122"/>
    <w:rsid w:val="003271E3"/>
    <w:rsid w:val="00330B7E"/>
    <w:rsid w:val="00331E55"/>
    <w:rsid w:val="00333016"/>
    <w:rsid w:val="00335531"/>
    <w:rsid w:val="0034241B"/>
    <w:rsid w:val="003457E6"/>
    <w:rsid w:val="00347CD9"/>
    <w:rsid w:val="00351D3D"/>
    <w:rsid w:val="003534EA"/>
    <w:rsid w:val="003538BF"/>
    <w:rsid w:val="00353F00"/>
    <w:rsid w:val="0035462D"/>
    <w:rsid w:val="00356428"/>
    <w:rsid w:val="00357015"/>
    <w:rsid w:val="003606FF"/>
    <w:rsid w:val="003608D7"/>
    <w:rsid w:val="00361130"/>
    <w:rsid w:val="0036686F"/>
    <w:rsid w:val="00366EBA"/>
    <w:rsid w:val="00370C94"/>
    <w:rsid w:val="003741B4"/>
    <w:rsid w:val="00376EE3"/>
    <w:rsid w:val="003779F9"/>
    <w:rsid w:val="00377F14"/>
    <w:rsid w:val="00383095"/>
    <w:rsid w:val="0038451F"/>
    <w:rsid w:val="003848B9"/>
    <w:rsid w:val="0039252A"/>
    <w:rsid w:val="00393819"/>
    <w:rsid w:val="00394662"/>
    <w:rsid w:val="00395BA3"/>
    <w:rsid w:val="00396BEF"/>
    <w:rsid w:val="003976AC"/>
    <w:rsid w:val="003A035D"/>
    <w:rsid w:val="003A277E"/>
    <w:rsid w:val="003A307C"/>
    <w:rsid w:val="003B37D9"/>
    <w:rsid w:val="003B64AE"/>
    <w:rsid w:val="003C1964"/>
    <w:rsid w:val="003C2996"/>
    <w:rsid w:val="003C29B5"/>
    <w:rsid w:val="003C2E99"/>
    <w:rsid w:val="003C361E"/>
    <w:rsid w:val="003C3946"/>
    <w:rsid w:val="003C3971"/>
    <w:rsid w:val="003C58C3"/>
    <w:rsid w:val="003D0E55"/>
    <w:rsid w:val="003D12D2"/>
    <w:rsid w:val="003D220C"/>
    <w:rsid w:val="003D2B19"/>
    <w:rsid w:val="003D41D2"/>
    <w:rsid w:val="003D4E35"/>
    <w:rsid w:val="003D580B"/>
    <w:rsid w:val="003D5FE8"/>
    <w:rsid w:val="003D7CD2"/>
    <w:rsid w:val="003E218A"/>
    <w:rsid w:val="003E403B"/>
    <w:rsid w:val="003E43EF"/>
    <w:rsid w:val="003E44AF"/>
    <w:rsid w:val="003E4555"/>
    <w:rsid w:val="003E51F4"/>
    <w:rsid w:val="003E559D"/>
    <w:rsid w:val="003F089B"/>
    <w:rsid w:val="003F1E0E"/>
    <w:rsid w:val="003F6129"/>
    <w:rsid w:val="00400540"/>
    <w:rsid w:val="00403CEA"/>
    <w:rsid w:val="00404657"/>
    <w:rsid w:val="004053FA"/>
    <w:rsid w:val="0041014C"/>
    <w:rsid w:val="00410B4D"/>
    <w:rsid w:val="00412B25"/>
    <w:rsid w:val="00414E96"/>
    <w:rsid w:val="0041591B"/>
    <w:rsid w:val="00417D34"/>
    <w:rsid w:val="00417DEE"/>
    <w:rsid w:val="004206D4"/>
    <w:rsid w:val="004275DE"/>
    <w:rsid w:val="004315E3"/>
    <w:rsid w:val="0043209A"/>
    <w:rsid w:val="00433077"/>
    <w:rsid w:val="004334A7"/>
    <w:rsid w:val="00433750"/>
    <w:rsid w:val="00435E9A"/>
    <w:rsid w:val="00436156"/>
    <w:rsid w:val="00437FA6"/>
    <w:rsid w:val="00441784"/>
    <w:rsid w:val="004424A1"/>
    <w:rsid w:val="00443245"/>
    <w:rsid w:val="00443DFA"/>
    <w:rsid w:val="00445202"/>
    <w:rsid w:val="004456C6"/>
    <w:rsid w:val="00446295"/>
    <w:rsid w:val="00447E4F"/>
    <w:rsid w:val="00450E5E"/>
    <w:rsid w:val="0045177C"/>
    <w:rsid w:val="00453329"/>
    <w:rsid w:val="00453FB8"/>
    <w:rsid w:val="00456D93"/>
    <w:rsid w:val="0045774D"/>
    <w:rsid w:val="00457990"/>
    <w:rsid w:val="00462F2F"/>
    <w:rsid w:val="00464618"/>
    <w:rsid w:val="004647EB"/>
    <w:rsid w:val="0046575A"/>
    <w:rsid w:val="00467D9B"/>
    <w:rsid w:val="0047088B"/>
    <w:rsid w:val="00473401"/>
    <w:rsid w:val="00473991"/>
    <w:rsid w:val="00473CEA"/>
    <w:rsid w:val="00474930"/>
    <w:rsid w:val="0047565F"/>
    <w:rsid w:val="004763DB"/>
    <w:rsid w:val="004765B5"/>
    <w:rsid w:val="0047729F"/>
    <w:rsid w:val="00477B8C"/>
    <w:rsid w:val="00480892"/>
    <w:rsid w:val="0048146B"/>
    <w:rsid w:val="00481942"/>
    <w:rsid w:val="0048580E"/>
    <w:rsid w:val="004908C7"/>
    <w:rsid w:val="00490B8E"/>
    <w:rsid w:val="004924BA"/>
    <w:rsid w:val="00493A49"/>
    <w:rsid w:val="00495418"/>
    <w:rsid w:val="00497F2A"/>
    <w:rsid w:val="004A0AD6"/>
    <w:rsid w:val="004A1502"/>
    <w:rsid w:val="004A1834"/>
    <w:rsid w:val="004A1C35"/>
    <w:rsid w:val="004A1D5E"/>
    <w:rsid w:val="004A2D3F"/>
    <w:rsid w:val="004A34FF"/>
    <w:rsid w:val="004A353F"/>
    <w:rsid w:val="004A573D"/>
    <w:rsid w:val="004A7092"/>
    <w:rsid w:val="004B1C35"/>
    <w:rsid w:val="004B2ECE"/>
    <w:rsid w:val="004B445B"/>
    <w:rsid w:val="004B4E62"/>
    <w:rsid w:val="004B6CCE"/>
    <w:rsid w:val="004B6D1F"/>
    <w:rsid w:val="004C38BC"/>
    <w:rsid w:val="004C3AF9"/>
    <w:rsid w:val="004C4E87"/>
    <w:rsid w:val="004D0B09"/>
    <w:rsid w:val="004D11A2"/>
    <w:rsid w:val="004D22B6"/>
    <w:rsid w:val="004D2A4C"/>
    <w:rsid w:val="004D3578"/>
    <w:rsid w:val="004D4A7D"/>
    <w:rsid w:val="004D4E22"/>
    <w:rsid w:val="004D4F1A"/>
    <w:rsid w:val="004D7E65"/>
    <w:rsid w:val="004E0ACB"/>
    <w:rsid w:val="004E15ED"/>
    <w:rsid w:val="004E18F3"/>
    <w:rsid w:val="004E213A"/>
    <w:rsid w:val="004E5EEA"/>
    <w:rsid w:val="004E7D46"/>
    <w:rsid w:val="004F1FF9"/>
    <w:rsid w:val="004F4A63"/>
    <w:rsid w:val="004F6DAD"/>
    <w:rsid w:val="004F7E6D"/>
    <w:rsid w:val="005012F2"/>
    <w:rsid w:val="00502FA9"/>
    <w:rsid w:val="00504317"/>
    <w:rsid w:val="005044A9"/>
    <w:rsid w:val="00506136"/>
    <w:rsid w:val="0050692C"/>
    <w:rsid w:val="00507181"/>
    <w:rsid w:val="0051045A"/>
    <w:rsid w:val="00510918"/>
    <w:rsid w:val="00513B71"/>
    <w:rsid w:val="00516265"/>
    <w:rsid w:val="005163C1"/>
    <w:rsid w:val="00520514"/>
    <w:rsid w:val="00521698"/>
    <w:rsid w:val="005243FA"/>
    <w:rsid w:val="00525948"/>
    <w:rsid w:val="00531A14"/>
    <w:rsid w:val="0053202A"/>
    <w:rsid w:val="00535C93"/>
    <w:rsid w:val="00536186"/>
    <w:rsid w:val="005377B7"/>
    <w:rsid w:val="005402C3"/>
    <w:rsid w:val="0054041B"/>
    <w:rsid w:val="00541CD6"/>
    <w:rsid w:val="00542EA8"/>
    <w:rsid w:val="0054372F"/>
    <w:rsid w:val="00543E6C"/>
    <w:rsid w:val="00545ECF"/>
    <w:rsid w:val="005513CC"/>
    <w:rsid w:val="00552B6A"/>
    <w:rsid w:val="00553FBC"/>
    <w:rsid w:val="0056283F"/>
    <w:rsid w:val="005635D1"/>
    <w:rsid w:val="005648FE"/>
    <w:rsid w:val="00565087"/>
    <w:rsid w:val="00567464"/>
    <w:rsid w:val="00572652"/>
    <w:rsid w:val="00574BB6"/>
    <w:rsid w:val="005755EA"/>
    <w:rsid w:val="00576BF5"/>
    <w:rsid w:val="00577761"/>
    <w:rsid w:val="00584681"/>
    <w:rsid w:val="00586086"/>
    <w:rsid w:val="005863D2"/>
    <w:rsid w:val="00586710"/>
    <w:rsid w:val="00586E27"/>
    <w:rsid w:val="00587232"/>
    <w:rsid w:val="005903E9"/>
    <w:rsid w:val="00591250"/>
    <w:rsid w:val="00593390"/>
    <w:rsid w:val="00594A8E"/>
    <w:rsid w:val="005979D2"/>
    <w:rsid w:val="005A1D1B"/>
    <w:rsid w:val="005A2005"/>
    <w:rsid w:val="005A2684"/>
    <w:rsid w:val="005A2A73"/>
    <w:rsid w:val="005A78A2"/>
    <w:rsid w:val="005B27FD"/>
    <w:rsid w:val="005B64E6"/>
    <w:rsid w:val="005B6654"/>
    <w:rsid w:val="005C0302"/>
    <w:rsid w:val="005C1AB5"/>
    <w:rsid w:val="005C2FD0"/>
    <w:rsid w:val="005C3A45"/>
    <w:rsid w:val="005C51AA"/>
    <w:rsid w:val="005D0D07"/>
    <w:rsid w:val="005D1636"/>
    <w:rsid w:val="005D1C32"/>
    <w:rsid w:val="005D20EC"/>
    <w:rsid w:val="005D2E01"/>
    <w:rsid w:val="005D2EDD"/>
    <w:rsid w:val="005D5D05"/>
    <w:rsid w:val="005E2F35"/>
    <w:rsid w:val="005E53FE"/>
    <w:rsid w:val="005E7B7C"/>
    <w:rsid w:val="005F2252"/>
    <w:rsid w:val="005F29E0"/>
    <w:rsid w:val="005F2AED"/>
    <w:rsid w:val="005F410C"/>
    <w:rsid w:val="005F6FE6"/>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04E"/>
    <w:rsid w:val="00634A22"/>
    <w:rsid w:val="00635EE3"/>
    <w:rsid w:val="00642225"/>
    <w:rsid w:val="00643487"/>
    <w:rsid w:val="006436AB"/>
    <w:rsid w:val="00643701"/>
    <w:rsid w:val="0064510E"/>
    <w:rsid w:val="00645590"/>
    <w:rsid w:val="006458F9"/>
    <w:rsid w:val="00646B43"/>
    <w:rsid w:val="00646D91"/>
    <w:rsid w:val="00646FC3"/>
    <w:rsid w:val="0065243D"/>
    <w:rsid w:val="006528A1"/>
    <w:rsid w:val="00652E3E"/>
    <w:rsid w:val="0065306B"/>
    <w:rsid w:val="006536DB"/>
    <w:rsid w:val="00655A8D"/>
    <w:rsid w:val="00656EC7"/>
    <w:rsid w:val="006608F3"/>
    <w:rsid w:val="0066137E"/>
    <w:rsid w:val="00663C94"/>
    <w:rsid w:val="00667E12"/>
    <w:rsid w:val="00670B7E"/>
    <w:rsid w:val="00672860"/>
    <w:rsid w:val="006745F6"/>
    <w:rsid w:val="00674E28"/>
    <w:rsid w:val="00675B38"/>
    <w:rsid w:val="00676795"/>
    <w:rsid w:val="006771B2"/>
    <w:rsid w:val="00680C03"/>
    <w:rsid w:val="00680EDF"/>
    <w:rsid w:val="00685F89"/>
    <w:rsid w:val="00692506"/>
    <w:rsid w:val="00694344"/>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41B4"/>
    <w:rsid w:val="006C53BC"/>
    <w:rsid w:val="006C57F6"/>
    <w:rsid w:val="006C620C"/>
    <w:rsid w:val="006C7E10"/>
    <w:rsid w:val="006D0C5A"/>
    <w:rsid w:val="006D1B53"/>
    <w:rsid w:val="006D2E09"/>
    <w:rsid w:val="006D4634"/>
    <w:rsid w:val="006D49D5"/>
    <w:rsid w:val="006E3C6B"/>
    <w:rsid w:val="006E4C2E"/>
    <w:rsid w:val="006E5501"/>
    <w:rsid w:val="006E5E00"/>
    <w:rsid w:val="006F0942"/>
    <w:rsid w:val="006F2BAB"/>
    <w:rsid w:val="006F6233"/>
    <w:rsid w:val="006F7A90"/>
    <w:rsid w:val="00703C9B"/>
    <w:rsid w:val="00704481"/>
    <w:rsid w:val="0070508A"/>
    <w:rsid w:val="00705266"/>
    <w:rsid w:val="00705999"/>
    <w:rsid w:val="00706031"/>
    <w:rsid w:val="00710065"/>
    <w:rsid w:val="007118BB"/>
    <w:rsid w:val="00712A0E"/>
    <w:rsid w:val="0071324A"/>
    <w:rsid w:val="00714236"/>
    <w:rsid w:val="007148D6"/>
    <w:rsid w:val="00714ECD"/>
    <w:rsid w:val="00715BEE"/>
    <w:rsid w:val="00726858"/>
    <w:rsid w:val="00727F3F"/>
    <w:rsid w:val="007302A9"/>
    <w:rsid w:val="00730C57"/>
    <w:rsid w:val="007317FC"/>
    <w:rsid w:val="0073291F"/>
    <w:rsid w:val="00734A5B"/>
    <w:rsid w:val="0074147C"/>
    <w:rsid w:val="00741C03"/>
    <w:rsid w:val="00741C35"/>
    <w:rsid w:val="00742BBA"/>
    <w:rsid w:val="00744B81"/>
    <w:rsid w:val="00744E76"/>
    <w:rsid w:val="00745D23"/>
    <w:rsid w:val="00745E2E"/>
    <w:rsid w:val="00747AA8"/>
    <w:rsid w:val="007509E8"/>
    <w:rsid w:val="00750D14"/>
    <w:rsid w:val="00751442"/>
    <w:rsid w:val="007515B3"/>
    <w:rsid w:val="00751A08"/>
    <w:rsid w:val="0075269B"/>
    <w:rsid w:val="00754686"/>
    <w:rsid w:val="00756B8F"/>
    <w:rsid w:val="00757C26"/>
    <w:rsid w:val="00757FC6"/>
    <w:rsid w:val="007604CD"/>
    <w:rsid w:val="00760F86"/>
    <w:rsid w:val="00761A42"/>
    <w:rsid w:val="00762A0D"/>
    <w:rsid w:val="00763869"/>
    <w:rsid w:val="007646B7"/>
    <w:rsid w:val="0077019F"/>
    <w:rsid w:val="0077079C"/>
    <w:rsid w:val="007708DB"/>
    <w:rsid w:val="0077093E"/>
    <w:rsid w:val="00771268"/>
    <w:rsid w:val="0077187B"/>
    <w:rsid w:val="007727F6"/>
    <w:rsid w:val="00773C5B"/>
    <w:rsid w:val="00774752"/>
    <w:rsid w:val="00777063"/>
    <w:rsid w:val="00781AC9"/>
    <w:rsid w:val="00781F0F"/>
    <w:rsid w:val="00782B5A"/>
    <w:rsid w:val="00783DCF"/>
    <w:rsid w:val="0078433E"/>
    <w:rsid w:val="0078546C"/>
    <w:rsid w:val="007864AC"/>
    <w:rsid w:val="00790B60"/>
    <w:rsid w:val="00793790"/>
    <w:rsid w:val="0079389B"/>
    <w:rsid w:val="00796CD9"/>
    <w:rsid w:val="007A0F27"/>
    <w:rsid w:val="007A35AA"/>
    <w:rsid w:val="007A4EA6"/>
    <w:rsid w:val="007B27FD"/>
    <w:rsid w:val="007B5F5C"/>
    <w:rsid w:val="007C04B8"/>
    <w:rsid w:val="007C5A6F"/>
    <w:rsid w:val="007C6EED"/>
    <w:rsid w:val="007D0F1E"/>
    <w:rsid w:val="007D14AA"/>
    <w:rsid w:val="007D21FC"/>
    <w:rsid w:val="007D43CD"/>
    <w:rsid w:val="007D45D4"/>
    <w:rsid w:val="007D4880"/>
    <w:rsid w:val="007D4E79"/>
    <w:rsid w:val="007E1481"/>
    <w:rsid w:val="007E305C"/>
    <w:rsid w:val="007E3A34"/>
    <w:rsid w:val="007E44EB"/>
    <w:rsid w:val="007E46DC"/>
    <w:rsid w:val="007E6171"/>
    <w:rsid w:val="007E67EC"/>
    <w:rsid w:val="007F0F7C"/>
    <w:rsid w:val="007F108F"/>
    <w:rsid w:val="007F137C"/>
    <w:rsid w:val="007F186F"/>
    <w:rsid w:val="007F18CF"/>
    <w:rsid w:val="007F20C3"/>
    <w:rsid w:val="007F2F40"/>
    <w:rsid w:val="007F444A"/>
    <w:rsid w:val="008028A4"/>
    <w:rsid w:val="0080603A"/>
    <w:rsid w:val="00807A42"/>
    <w:rsid w:val="00807D86"/>
    <w:rsid w:val="00810707"/>
    <w:rsid w:val="00810812"/>
    <w:rsid w:val="00810A11"/>
    <w:rsid w:val="00814F5B"/>
    <w:rsid w:val="008202B4"/>
    <w:rsid w:val="00820964"/>
    <w:rsid w:val="00822A64"/>
    <w:rsid w:val="0082452A"/>
    <w:rsid w:val="008275A1"/>
    <w:rsid w:val="00831C82"/>
    <w:rsid w:val="00843719"/>
    <w:rsid w:val="00844F6D"/>
    <w:rsid w:val="00847945"/>
    <w:rsid w:val="00850F4D"/>
    <w:rsid w:val="00855ED1"/>
    <w:rsid w:val="00857349"/>
    <w:rsid w:val="0086080B"/>
    <w:rsid w:val="00860817"/>
    <w:rsid w:val="00860BBA"/>
    <w:rsid w:val="008618A5"/>
    <w:rsid w:val="00861F7D"/>
    <w:rsid w:val="00862C1F"/>
    <w:rsid w:val="008651B7"/>
    <w:rsid w:val="0087333D"/>
    <w:rsid w:val="008768CA"/>
    <w:rsid w:val="00877EAD"/>
    <w:rsid w:val="00880CBD"/>
    <w:rsid w:val="00882EC3"/>
    <w:rsid w:val="00883148"/>
    <w:rsid w:val="00887789"/>
    <w:rsid w:val="0089110A"/>
    <w:rsid w:val="00891F56"/>
    <w:rsid w:val="00895380"/>
    <w:rsid w:val="008958D5"/>
    <w:rsid w:val="00895A55"/>
    <w:rsid w:val="0089742B"/>
    <w:rsid w:val="008A1738"/>
    <w:rsid w:val="008A7D11"/>
    <w:rsid w:val="008B30C8"/>
    <w:rsid w:val="008B3A70"/>
    <w:rsid w:val="008B4778"/>
    <w:rsid w:val="008B485B"/>
    <w:rsid w:val="008B7ED1"/>
    <w:rsid w:val="008C0F7E"/>
    <w:rsid w:val="008C2488"/>
    <w:rsid w:val="008C3D36"/>
    <w:rsid w:val="008C44B1"/>
    <w:rsid w:val="008D1852"/>
    <w:rsid w:val="008D3FA4"/>
    <w:rsid w:val="008D5DAF"/>
    <w:rsid w:val="008E002E"/>
    <w:rsid w:val="008E0B29"/>
    <w:rsid w:val="008E1264"/>
    <w:rsid w:val="008E2C75"/>
    <w:rsid w:val="008E39E6"/>
    <w:rsid w:val="008E3E0E"/>
    <w:rsid w:val="008E5440"/>
    <w:rsid w:val="008E6781"/>
    <w:rsid w:val="008E7E6A"/>
    <w:rsid w:val="008F0D50"/>
    <w:rsid w:val="008F0EFD"/>
    <w:rsid w:val="008F2068"/>
    <w:rsid w:val="008F2B49"/>
    <w:rsid w:val="008F33B3"/>
    <w:rsid w:val="008F7474"/>
    <w:rsid w:val="00900C2C"/>
    <w:rsid w:val="0090271F"/>
    <w:rsid w:val="00902E23"/>
    <w:rsid w:val="009032F4"/>
    <w:rsid w:val="00906ACB"/>
    <w:rsid w:val="0090790C"/>
    <w:rsid w:val="00907E50"/>
    <w:rsid w:val="009118CC"/>
    <w:rsid w:val="0091348E"/>
    <w:rsid w:val="00915E81"/>
    <w:rsid w:val="00915F79"/>
    <w:rsid w:val="009163B4"/>
    <w:rsid w:val="00917317"/>
    <w:rsid w:val="00920012"/>
    <w:rsid w:val="00920288"/>
    <w:rsid w:val="00920B66"/>
    <w:rsid w:val="0092220C"/>
    <w:rsid w:val="009230FD"/>
    <w:rsid w:val="00924B4D"/>
    <w:rsid w:val="0092634B"/>
    <w:rsid w:val="00931703"/>
    <w:rsid w:val="00931EAD"/>
    <w:rsid w:val="00931F61"/>
    <w:rsid w:val="00932485"/>
    <w:rsid w:val="0093324B"/>
    <w:rsid w:val="009333F5"/>
    <w:rsid w:val="0093397F"/>
    <w:rsid w:val="009340DA"/>
    <w:rsid w:val="00937279"/>
    <w:rsid w:val="00937B74"/>
    <w:rsid w:val="00937C97"/>
    <w:rsid w:val="00937DFB"/>
    <w:rsid w:val="00940B65"/>
    <w:rsid w:val="00942EC2"/>
    <w:rsid w:val="009447EB"/>
    <w:rsid w:val="00944811"/>
    <w:rsid w:val="009456B0"/>
    <w:rsid w:val="00947CBF"/>
    <w:rsid w:val="009539BF"/>
    <w:rsid w:val="00954014"/>
    <w:rsid w:val="0096201A"/>
    <w:rsid w:val="00963D05"/>
    <w:rsid w:val="009722E7"/>
    <w:rsid w:val="00973FA8"/>
    <w:rsid w:val="00974D0B"/>
    <w:rsid w:val="0098134B"/>
    <w:rsid w:val="00985B52"/>
    <w:rsid w:val="00986342"/>
    <w:rsid w:val="0099057B"/>
    <w:rsid w:val="0099131A"/>
    <w:rsid w:val="0099167F"/>
    <w:rsid w:val="009926D2"/>
    <w:rsid w:val="009929D8"/>
    <w:rsid w:val="00992E1C"/>
    <w:rsid w:val="009934A5"/>
    <w:rsid w:val="00997966"/>
    <w:rsid w:val="00997AF1"/>
    <w:rsid w:val="009A0512"/>
    <w:rsid w:val="009A0DE2"/>
    <w:rsid w:val="009A1923"/>
    <w:rsid w:val="009A1D9E"/>
    <w:rsid w:val="009A6162"/>
    <w:rsid w:val="009B1DEF"/>
    <w:rsid w:val="009B2B51"/>
    <w:rsid w:val="009B3096"/>
    <w:rsid w:val="009B3D5A"/>
    <w:rsid w:val="009C02F0"/>
    <w:rsid w:val="009C26FA"/>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F01B5"/>
    <w:rsid w:val="009F0F2B"/>
    <w:rsid w:val="009F37B7"/>
    <w:rsid w:val="009F46DA"/>
    <w:rsid w:val="009F6CCB"/>
    <w:rsid w:val="00A0148D"/>
    <w:rsid w:val="00A025F2"/>
    <w:rsid w:val="00A0538F"/>
    <w:rsid w:val="00A06F4E"/>
    <w:rsid w:val="00A10F02"/>
    <w:rsid w:val="00A127FE"/>
    <w:rsid w:val="00A1364D"/>
    <w:rsid w:val="00A153D2"/>
    <w:rsid w:val="00A15F96"/>
    <w:rsid w:val="00A164B4"/>
    <w:rsid w:val="00A2144C"/>
    <w:rsid w:val="00A224F8"/>
    <w:rsid w:val="00A238F7"/>
    <w:rsid w:val="00A26F53"/>
    <w:rsid w:val="00A277CD"/>
    <w:rsid w:val="00A320AC"/>
    <w:rsid w:val="00A3688E"/>
    <w:rsid w:val="00A36C6D"/>
    <w:rsid w:val="00A37C6D"/>
    <w:rsid w:val="00A415F7"/>
    <w:rsid w:val="00A4187B"/>
    <w:rsid w:val="00A42069"/>
    <w:rsid w:val="00A43D53"/>
    <w:rsid w:val="00A4501C"/>
    <w:rsid w:val="00A45B25"/>
    <w:rsid w:val="00A468D0"/>
    <w:rsid w:val="00A4714A"/>
    <w:rsid w:val="00A476E4"/>
    <w:rsid w:val="00A53724"/>
    <w:rsid w:val="00A560C9"/>
    <w:rsid w:val="00A57A66"/>
    <w:rsid w:val="00A6096A"/>
    <w:rsid w:val="00A60A97"/>
    <w:rsid w:val="00A62BEB"/>
    <w:rsid w:val="00A63497"/>
    <w:rsid w:val="00A64348"/>
    <w:rsid w:val="00A65C1C"/>
    <w:rsid w:val="00A67DE9"/>
    <w:rsid w:val="00A70269"/>
    <w:rsid w:val="00A715E1"/>
    <w:rsid w:val="00A743F2"/>
    <w:rsid w:val="00A74BAF"/>
    <w:rsid w:val="00A763C4"/>
    <w:rsid w:val="00A76F0C"/>
    <w:rsid w:val="00A82346"/>
    <w:rsid w:val="00A829D3"/>
    <w:rsid w:val="00A82B64"/>
    <w:rsid w:val="00A8318D"/>
    <w:rsid w:val="00A85F23"/>
    <w:rsid w:val="00A86AE6"/>
    <w:rsid w:val="00A8768C"/>
    <w:rsid w:val="00A90443"/>
    <w:rsid w:val="00A91300"/>
    <w:rsid w:val="00A91771"/>
    <w:rsid w:val="00A9185A"/>
    <w:rsid w:val="00A91CE4"/>
    <w:rsid w:val="00A9542F"/>
    <w:rsid w:val="00A9565C"/>
    <w:rsid w:val="00A9571C"/>
    <w:rsid w:val="00A96132"/>
    <w:rsid w:val="00A977EE"/>
    <w:rsid w:val="00AA00AC"/>
    <w:rsid w:val="00AA0369"/>
    <w:rsid w:val="00AA30F4"/>
    <w:rsid w:val="00AA384B"/>
    <w:rsid w:val="00AA460F"/>
    <w:rsid w:val="00AA69C8"/>
    <w:rsid w:val="00AB24C1"/>
    <w:rsid w:val="00AB2A60"/>
    <w:rsid w:val="00AB3031"/>
    <w:rsid w:val="00AB3250"/>
    <w:rsid w:val="00AB3FDD"/>
    <w:rsid w:val="00AB75E5"/>
    <w:rsid w:val="00AC638F"/>
    <w:rsid w:val="00AC6744"/>
    <w:rsid w:val="00AC7CEA"/>
    <w:rsid w:val="00AD0A47"/>
    <w:rsid w:val="00AD0A7C"/>
    <w:rsid w:val="00AD0BB5"/>
    <w:rsid w:val="00AD0E07"/>
    <w:rsid w:val="00AD1696"/>
    <w:rsid w:val="00AD1D3E"/>
    <w:rsid w:val="00AD52D2"/>
    <w:rsid w:val="00AD5374"/>
    <w:rsid w:val="00AD5B8F"/>
    <w:rsid w:val="00AD78C7"/>
    <w:rsid w:val="00AE068D"/>
    <w:rsid w:val="00AE1ECE"/>
    <w:rsid w:val="00AE26DC"/>
    <w:rsid w:val="00AE4EF6"/>
    <w:rsid w:val="00AF2F47"/>
    <w:rsid w:val="00B007BB"/>
    <w:rsid w:val="00B01F1E"/>
    <w:rsid w:val="00B05104"/>
    <w:rsid w:val="00B06E27"/>
    <w:rsid w:val="00B071A2"/>
    <w:rsid w:val="00B15361"/>
    <w:rsid w:val="00B15449"/>
    <w:rsid w:val="00B15C58"/>
    <w:rsid w:val="00B20248"/>
    <w:rsid w:val="00B210A3"/>
    <w:rsid w:val="00B23B59"/>
    <w:rsid w:val="00B25008"/>
    <w:rsid w:val="00B25370"/>
    <w:rsid w:val="00B27613"/>
    <w:rsid w:val="00B333A2"/>
    <w:rsid w:val="00B3527F"/>
    <w:rsid w:val="00B35780"/>
    <w:rsid w:val="00B40273"/>
    <w:rsid w:val="00B4054B"/>
    <w:rsid w:val="00B4350A"/>
    <w:rsid w:val="00B44277"/>
    <w:rsid w:val="00B455AB"/>
    <w:rsid w:val="00B5233E"/>
    <w:rsid w:val="00B52CCA"/>
    <w:rsid w:val="00B563EB"/>
    <w:rsid w:val="00B6005E"/>
    <w:rsid w:val="00B70BAB"/>
    <w:rsid w:val="00B70D8A"/>
    <w:rsid w:val="00B807C1"/>
    <w:rsid w:val="00B81055"/>
    <w:rsid w:val="00B829F6"/>
    <w:rsid w:val="00B82DFC"/>
    <w:rsid w:val="00B82FB4"/>
    <w:rsid w:val="00B84DB6"/>
    <w:rsid w:val="00B85525"/>
    <w:rsid w:val="00B85EBA"/>
    <w:rsid w:val="00B86197"/>
    <w:rsid w:val="00B86DB1"/>
    <w:rsid w:val="00B87053"/>
    <w:rsid w:val="00B90A43"/>
    <w:rsid w:val="00B94BF8"/>
    <w:rsid w:val="00B97187"/>
    <w:rsid w:val="00B97CE5"/>
    <w:rsid w:val="00BA28F5"/>
    <w:rsid w:val="00BA3C41"/>
    <w:rsid w:val="00BA4736"/>
    <w:rsid w:val="00BA68A2"/>
    <w:rsid w:val="00BB1C69"/>
    <w:rsid w:val="00BB26A7"/>
    <w:rsid w:val="00BB2B8C"/>
    <w:rsid w:val="00BB346B"/>
    <w:rsid w:val="00BB6113"/>
    <w:rsid w:val="00BC0F7D"/>
    <w:rsid w:val="00BC17DD"/>
    <w:rsid w:val="00BC2BB1"/>
    <w:rsid w:val="00BC3ADF"/>
    <w:rsid w:val="00BC4770"/>
    <w:rsid w:val="00BC4C17"/>
    <w:rsid w:val="00BC5E2C"/>
    <w:rsid w:val="00BC5E58"/>
    <w:rsid w:val="00BD14F5"/>
    <w:rsid w:val="00BD20FE"/>
    <w:rsid w:val="00BD4485"/>
    <w:rsid w:val="00BD5105"/>
    <w:rsid w:val="00BD55CA"/>
    <w:rsid w:val="00BE13B8"/>
    <w:rsid w:val="00BE22AA"/>
    <w:rsid w:val="00BE40BE"/>
    <w:rsid w:val="00BE40F4"/>
    <w:rsid w:val="00BE53CA"/>
    <w:rsid w:val="00BE735A"/>
    <w:rsid w:val="00BE79A5"/>
    <w:rsid w:val="00BF1F2D"/>
    <w:rsid w:val="00BF33C4"/>
    <w:rsid w:val="00BF3668"/>
    <w:rsid w:val="00BF5F7B"/>
    <w:rsid w:val="00BF5FA0"/>
    <w:rsid w:val="00C00A49"/>
    <w:rsid w:val="00C05A28"/>
    <w:rsid w:val="00C05E43"/>
    <w:rsid w:val="00C073A3"/>
    <w:rsid w:val="00C07B23"/>
    <w:rsid w:val="00C10AA4"/>
    <w:rsid w:val="00C13F15"/>
    <w:rsid w:val="00C14615"/>
    <w:rsid w:val="00C14BC3"/>
    <w:rsid w:val="00C15A93"/>
    <w:rsid w:val="00C15BFE"/>
    <w:rsid w:val="00C2199C"/>
    <w:rsid w:val="00C229B6"/>
    <w:rsid w:val="00C22BA8"/>
    <w:rsid w:val="00C22D00"/>
    <w:rsid w:val="00C22DBC"/>
    <w:rsid w:val="00C24D9B"/>
    <w:rsid w:val="00C253CC"/>
    <w:rsid w:val="00C259C3"/>
    <w:rsid w:val="00C271D4"/>
    <w:rsid w:val="00C2798D"/>
    <w:rsid w:val="00C302E3"/>
    <w:rsid w:val="00C303A1"/>
    <w:rsid w:val="00C30450"/>
    <w:rsid w:val="00C32D1F"/>
    <w:rsid w:val="00C32F9F"/>
    <w:rsid w:val="00C33079"/>
    <w:rsid w:val="00C35DC7"/>
    <w:rsid w:val="00C36378"/>
    <w:rsid w:val="00C434DB"/>
    <w:rsid w:val="00C438B9"/>
    <w:rsid w:val="00C44302"/>
    <w:rsid w:val="00C4439A"/>
    <w:rsid w:val="00C45231"/>
    <w:rsid w:val="00C51952"/>
    <w:rsid w:val="00C60621"/>
    <w:rsid w:val="00C61D54"/>
    <w:rsid w:val="00C6238E"/>
    <w:rsid w:val="00C63919"/>
    <w:rsid w:val="00C67665"/>
    <w:rsid w:val="00C70847"/>
    <w:rsid w:val="00C71325"/>
    <w:rsid w:val="00C72037"/>
    <w:rsid w:val="00C72833"/>
    <w:rsid w:val="00C7326B"/>
    <w:rsid w:val="00C733BD"/>
    <w:rsid w:val="00C75A92"/>
    <w:rsid w:val="00C76BF0"/>
    <w:rsid w:val="00C7733C"/>
    <w:rsid w:val="00C77CB7"/>
    <w:rsid w:val="00C810FE"/>
    <w:rsid w:val="00C81D9E"/>
    <w:rsid w:val="00C824E1"/>
    <w:rsid w:val="00C829B3"/>
    <w:rsid w:val="00C85252"/>
    <w:rsid w:val="00C8566F"/>
    <w:rsid w:val="00C867FE"/>
    <w:rsid w:val="00C869E7"/>
    <w:rsid w:val="00C86D04"/>
    <w:rsid w:val="00C874E3"/>
    <w:rsid w:val="00C87FA4"/>
    <w:rsid w:val="00C92916"/>
    <w:rsid w:val="00C93F40"/>
    <w:rsid w:val="00C9416B"/>
    <w:rsid w:val="00C95849"/>
    <w:rsid w:val="00C96BA2"/>
    <w:rsid w:val="00CA04BC"/>
    <w:rsid w:val="00CA096C"/>
    <w:rsid w:val="00CA127A"/>
    <w:rsid w:val="00CA2AF4"/>
    <w:rsid w:val="00CA3D0C"/>
    <w:rsid w:val="00CA5448"/>
    <w:rsid w:val="00CA64D4"/>
    <w:rsid w:val="00CB15DF"/>
    <w:rsid w:val="00CB43BA"/>
    <w:rsid w:val="00CB71C0"/>
    <w:rsid w:val="00CC036E"/>
    <w:rsid w:val="00CC2225"/>
    <w:rsid w:val="00CC3B05"/>
    <w:rsid w:val="00CC3F92"/>
    <w:rsid w:val="00CC61DB"/>
    <w:rsid w:val="00CC75FD"/>
    <w:rsid w:val="00CD10C0"/>
    <w:rsid w:val="00CD3735"/>
    <w:rsid w:val="00CD63ED"/>
    <w:rsid w:val="00CE1AE5"/>
    <w:rsid w:val="00CE1B8D"/>
    <w:rsid w:val="00CE326B"/>
    <w:rsid w:val="00CE499A"/>
    <w:rsid w:val="00CE4DA4"/>
    <w:rsid w:val="00CE57CF"/>
    <w:rsid w:val="00CF00DA"/>
    <w:rsid w:val="00CF1082"/>
    <w:rsid w:val="00CF14C7"/>
    <w:rsid w:val="00CF6E3C"/>
    <w:rsid w:val="00CF6E6C"/>
    <w:rsid w:val="00D01163"/>
    <w:rsid w:val="00D0254F"/>
    <w:rsid w:val="00D038AE"/>
    <w:rsid w:val="00D0567A"/>
    <w:rsid w:val="00D05DD2"/>
    <w:rsid w:val="00D05E99"/>
    <w:rsid w:val="00D0609C"/>
    <w:rsid w:val="00D0700B"/>
    <w:rsid w:val="00D1127D"/>
    <w:rsid w:val="00D12B5D"/>
    <w:rsid w:val="00D12F59"/>
    <w:rsid w:val="00D130BC"/>
    <w:rsid w:val="00D1448B"/>
    <w:rsid w:val="00D150C4"/>
    <w:rsid w:val="00D15A08"/>
    <w:rsid w:val="00D217A6"/>
    <w:rsid w:val="00D21B50"/>
    <w:rsid w:val="00D2340F"/>
    <w:rsid w:val="00D24C55"/>
    <w:rsid w:val="00D2578C"/>
    <w:rsid w:val="00D25D32"/>
    <w:rsid w:val="00D263D9"/>
    <w:rsid w:val="00D31665"/>
    <w:rsid w:val="00D31932"/>
    <w:rsid w:val="00D32C58"/>
    <w:rsid w:val="00D34F13"/>
    <w:rsid w:val="00D353B9"/>
    <w:rsid w:val="00D35F51"/>
    <w:rsid w:val="00D375DE"/>
    <w:rsid w:val="00D4070F"/>
    <w:rsid w:val="00D409BE"/>
    <w:rsid w:val="00D40BD2"/>
    <w:rsid w:val="00D41AF1"/>
    <w:rsid w:val="00D429FD"/>
    <w:rsid w:val="00D42EE5"/>
    <w:rsid w:val="00D4400E"/>
    <w:rsid w:val="00D464D0"/>
    <w:rsid w:val="00D47B6B"/>
    <w:rsid w:val="00D511CB"/>
    <w:rsid w:val="00D52878"/>
    <w:rsid w:val="00D52FDC"/>
    <w:rsid w:val="00D53504"/>
    <w:rsid w:val="00D54347"/>
    <w:rsid w:val="00D55AE9"/>
    <w:rsid w:val="00D5619B"/>
    <w:rsid w:val="00D56223"/>
    <w:rsid w:val="00D61FFC"/>
    <w:rsid w:val="00D6289E"/>
    <w:rsid w:val="00D62E41"/>
    <w:rsid w:val="00D63CF8"/>
    <w:rsid w:val="00D65409"/>
    <w:rsid w:val="00D67ED7"/>
    <w:rsid w:val="00D73502"/>
    <w:rsid w:val="00D735B5"/>
    <w:rsid w:val="00D738D6"/>
    <w:rsid w:val="00D755EB"/>
    <w:rsid w:val="00D76655"/>
    <w:rsid w:val="00D809AA"/>
    <w:rsid w:val="00D80CD6"/>
    <w:rsid w:val="00D841D8"/>
    <w:rsid w:val="00D866D1"/>
    <w:rsid w:val="00D86EA3"/>
    <w:rsid w:val="00D8774A"/>
    <w:rsid w:val="00D87E00"/>
    <w:rsid w:val="00D9134D"/>
    <w:rsid w:val="00D91B26"/>
    <w:rsid w:val="00D91F15"/>
    <w:rsid w:val="00D93BAB"/>
    <w:rsid w:val="00D944E4"/>
    <w:rsid w:val="00D968FA"/>
    <w:rsid w:val="00DA0251"/>
    <w:rsid w:val="00DA028B"/>
    <w:rsid w:val="00DA6A45"/>
    <w:rsid w:val="00DA6C8B"/>
    <w:rsid w:val="00DA7A03"/>
    <w:rsid w:val="00DB0CD2"/>
    <w:rsid w:val="00DB1818"/>
    <w:rsid w:val="00DB42A3"/>
    <w:rsid w:val="00DB4860"/>
    <w:rsid w:val="00DB592F"/>
    <w:rsid w:val="00DB6E8A"/>
    <w:rsid w:val="00DB7613"/>
    <w:rsid w:val="00DB787A"/>
    <w:rsid w:val="00DC0018"/>
    <w:rsid w:val="00DC2FAF"/>
    <w:rsid w:val="00DC309B"/>
    <w:rsid w:val="00DC37EB"/>
    <w:rsid w:val="00DC4A32"/>
    <w:rsid w:val="00DC4DA2"/>
    <w:rsid w:val="00DC4E03"/>
    <w:rsid w:val="00DC6419"/>
    <w:rsid w:val="00DC652E"/>
    <w:rsid w:val="00DC6FA8"/>
    <w:rsid w:val="00DD0ABE"/>
    <w:rsid w:val="00DD0FCF"/>
    <w:rsid w:val="00DD20C3"/>
    <w:rsid w:val="00DD2213"/>
    <w:rsid w:val="00DD23F2"/>
    <w:rsid w:val="00DD3206"/>
    <w:rsid w:val="00DD4E55"/>
    <w:rsid w:val="00DD6894"/>
    <w:rsid w:val="00DD6E67"/>
    <w:rsid w:val="00DE0A51"/>
    <w:rsid w:val="00DE1331"/>
    <w:rsid w:val="00DE2D06"/>
    <w:rsid w:val="00DE427B"/>
    <w:rsid w:val="00DE4E10"/>
    <w:rsid w:val="00DE7EDC"/>
    <w:rsid w:val="00DF021F"/>
    <w:rsid w:val="00DF041D"/>
    <w:rsid w:val="00DF20C7"/>
    <w:rsid w:val="00DF2565"/>
    <w:rsid w:val="00DF2B1F"/>
    <w:rsid w:val="00DF2BB9"/>
    <w:rsid w:val="00DF5B91"/>
    <w:rsid w:val="00DF62CD"/>
    <w:rsid w:val="00E002B8"/>
    <w:rsid w:val="00E00BB1"/>
    <w:rsid w:val="00E025BE"/>
    <w:rsid w:val="00E03114"/>
    <w:rsid w:val="00E04684"/>
    <w:rsid w:val="00E066CC"/>
    <w:rsid w:val="00E06E5C"/>
    <w:rsid w:val="00E105CF"/>
    <w:rsid w:val="00E11F2F"/>
    <w:rsid w:val="00E12746"/>
    <w:rsid w:val="00E1295C"/>
    <w:rsid w:val="00E135E9"/>
    <w:rsid w:val="00E15138"/>
    <w:rsid w:val="00E15D24"/>
    <w:rsid w:val="00E15FE9"/>
    <w:rsid w:val="00E20A89"/>
    <w:rsid w:val="00E215B0"/>
    <w:rsid w:val="00E23E3A"/>
    <w:rsid w:val="00E24ACF"/>
    <w:rsid w:val="00E27AB0"/>
    <w:rsid w:val="00E33AFC"/>
    <w:rsid w:val="00E3439D"/>
    <w:rsid w:val="00E37069"/>
    <w:rsid w:val="00E372CF"/>
    <w:rsid w:val="00E379BF"/>
    <w:rsid w:val="00E4070A"/>
    <w:rsid w:val="00E42863"/>
    <w:rsid w:val="00E43F1C"/>
    <w:rsid w:val="00E44A3F"/>
    <w:rsid w:val="00E45FB3"/>
    <w:rsid w:val="00E47053"/>
    <w:rsid w:val="00E470F4"/>
    <w:rsid w:val="00E50BC9"/>
    <w:rsid w:val="00E511C7"/>
    <w:rsid w:val="00E53C4E"/>
    <w:rsid w:val="00E564C4"/>
    <w:rsid w:val="00E57469"/>
    <w:rsid w:val="00E60C99"/>
    <w:rsid w:val="00E61CF1"/>
    <w:rsid w:val="00E61EF7"/>
    <w:rsid w:val="00E6302E"/>
    <w:rsid w:val="00E63AEF"/>
    <w:rsid w:val="00E65666"/>
    <w:rsid w:val="00E6652E"/>
    <w:rsid w:val="00E66E60"/>
    <w:rsid w:val="00E67EA5"/>
    <w:rsid w:val="00E72A72"/>
    <w:rsid w:val="00E75306"/>
    <w:rsid w:val="00E76B85"/>
    <w:rsid w:val="00E77645"/>
    <w:rsid w:val="00E8248E"/>
    <w:rsid w:val="00E82E35"/>
    <w:rsid w:val="00E83DD4"/>
    <w:rsid w:val="00E848F3"/>
    <w:rsid w:val="00E8615F"/>
    <w:rsid w:val="00E8671B"/>
    <w:rsid w:val="00E87156"/>
    <w:rsid w:val="00E87213"/>
    <w:rsid w:val="00E9061C"/>
    <w:rsid w:val="00E91670"/>
    <w:rsid w:val="00E9259B"/>
    <w:rsid w:val="00E9294E"/>
    <w:rsid w:val="00E93E52"/>
    <w:rsid w:val="00E94D1B"/>
    <w:rsid w:val="00E95D6E"/>
    <w:rsid w:val="00E9644E"/>
    <w:rsid w:val="00E96B24"/>
    <w:rsid w:val="00EA06DD"/>
    <w:rsid w:val="00EA1ADF"/>
    <w:rsid w:val="00EA1BA8"/>
    <w:rsid w:val="00EA2E97"/>
    <w:rsid w:val="00EA41A9"/>
    <w:rsid w:val="00EA5938"/>
    <w:rsid w:val="00EA6794"/>
    <w:rsid w:val="00EA71C2"/>
    <w:rsid w:val="00EB0277"/>
    <w:rsid w:val="00EB1CD0"/>
    <w:rsid w:val="00EB32D4"/>
    <w:rsid w:val="00EB4E60"/>
    <w:rsid w:val="00EB759D"/>
    <w:rsid w:val="00EC3FF3"/>
    <w:rsid w:val="00EC4A25"/>
    <w:rsid w:val="00ED0255"/>
    <w:rsid w:val="00ED0CEC"/>
    <w:rsid w:val="00ED1668"/>
    <w:rsid w:val="00ED182E"/>
    <w:rsid w:val="00ED2A65"/>
    <w:rsid w:val="00ED2FB6"/>
    <w:rsid w:val="00ED5359"/>
    <w:rsid w:val="00ED6E84"/>
    <w:rsid w:val="00ED7550"/>
    <w:rsid w:val="00EE1C24"/>
    <w:rsid w:val="00EE2A8B"/>
    <w:rsid w:val="00EE3A76"/>
    <w:rsid w:val="00EE3E3D"/>
    <w:rsid w:val="00EE5B7D"/>
    <w:rsid w:val="00EE695F"/>
    <w:rsid w:val="00EF069F"/>
    <w:rsid w:val="00EF15BC"/>
    <w:rsid w:val="00EF4818"/>
    <w:rsid w:val="00EF50FD"/>
    <w:rsid w:val="00EF5881"/>
    <w:rsid w:val="00EF66CD"/>
    <w:rsid w:val="00EF70F5"/>
    <w:rsid w:val="00EF7C95"/>
    <w:rsid w:val="00F0109D"/>
    <w:rsid w:val="00F011F7"/>
    <w:rsid w:val="00F01D80"/>
    <w:rsid w:val="00F025A2"/>
    <w:rsid w:val="00F041E3"/>
    <w:rsid w:val="00F04712"/>
    <w:rsid w:val="00F11F11"/>
    <w:rsid w:val="00F12F2A"/>
    <w:rsid w:val="00F1461A"/>
    <w:rsid w:val="00F15599"/>
    <w:rsid w:val="00F22EC7"/>
    <w:rsid w:val="00F25155"/>
    <w:rsid w:val="00F2736F"/>
    <w:rsid w:val="00F27A07"/>
    <w:rsid w:val="00F30AA8"/>
    <w:rsid w:val="00F32456"/>
    <w:rsid w:val="00F324AF"/>
    <w:rsid w:val="00F346DD"/>
    <w:rsid w:val="00F42BC2"/>
    <w:rsid w:val="00F43621"/>
    <w:rsid w:val="00F46194"/>
    <w:rsid w:val="00F50810"/>
    <w:rsid w:val="00F50F68"/>
    <w:rsid w:val="00F52A51"/>
    <w:rsid w:val="00F5388C"/>
    <w:rsid w:val="00F53DE7"/>
    <w:rsid w:val="00F540AC"/>
    <w:rsid w:val="00F54DD4"/>
    <w:rsid w:val="00F5501E"/>
    <w:rsid w:val="00F55ADA"/>
    <w:rsid w:val="00F5655D"/>
    <w:rsid w:val="00F61032"/>
    <w:rsid w:val="00F615E0"/>
    <w:rsid w:val="00F653B8"/>
    <w:rsid w:val="00F71CF6"/>
    <w:rsid w:val="00F757B9"/>
    <w:rsid w:val="00F81A57"/>
    <w:rsid w:val="00F83356"/>
    <w:rsid w:val="00F858D2"/>
    <w:rsid w:val="00F8657A"/>
    <w:rsid w:val="00F87191"/>
    <w:rsid w:val="00F8771F"/>
    <w:rsid w:val="00F91712"/>
    <w:rsid w:val="00F917E5"/>
    <w:rsid w:val="00F91F0E"/>
    <w:rsid w:val="00F94C82"/>
    <w:rsid w:val="00F9556A"/>
    <w:rsid w:val="00FA1266"/>
    <w:rsid w:val="00FA5A85"/>
    <w:rsid w:val="00FA5CD2"/>
    <w:rsid w:val="00FA5FD4"/>
    <w:rsid w:val="00FA6B7E"/>
    <w:rsid w:val="00FA6EA2"/>
    <w:rsid w:val="00FA75D6"/>
    <w:rsid w:val="00FB03D9"/>
    <w:rsid w:val="00FB61C0"/>
    <w:rsid w:val="00FB66AD"/>
    <w:rsid w:val="00FB7612"/>
    <w:rsid w:val="00FC1192"/>
    <w:rsid w:val="00FC24B5"/>
    <w:rsid w:val="00FC6928"/>
    <w:rsid w:val="00FC6DF0"/>
    <w:rsid w:val="00FD0575"/>
    <w:rsid w:val="00FD0D37"/>
    <w:rsid w:val="00FD1C32"/>
    <w:rsid w:val="00FD25E0"/>
    <w:rsid w:val="00FD726A"/>
    <w:rsid w:val="00FD74FF"/>
    <w:rsid w:val="00FE025C"/>
    <w:rsid w:val="00FE1B5E"/>
    <w:rsid w:val="00FE2DD0"/>
    <w:rsid w:val="00FE4631"/>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C78AC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B79"/>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uiPriority w:val="9"/>
    <w:qFormat/>
    <w:rsid w:val="00AA384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link w:val="Heading2Char"/>
    <w:qFormat/>
    <w:rsid w:val="00004739"/>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numPr>
        <w:ilvl w:val="2"/>
      </w:numPr>
      <w:spacing w:before="120"/>
      <w:outlineLvl w:val="2"/>
    </w:pPr>
    <w:rPr>
      <w:sz w:val="28"/>
    </w:rPr>
  </w:style>
  <w:style w:type="paragraph" w:styleId="Heading4">
    <w:name w:val="heading 4"/>
    <w:basedOn w:val="Heading3"/>
    <w:next w:val="Normal"/>
    <w:qFormat/>
    <w:rsid w:val="00161B79"/>
    <w:pPr>
      <w:numPr>
        <w:ilvl w:val="3"/>
      </w:numPr>
      <w:outlineLvl w:val="3"/>
    </w:pPr>
    <w:rPr>
      <w:sz w:val="24"/>
    </w:rPr>
  </w:style>
  <w:style w:type="paragraph" w:styleId="Heading5">
    <w:name w:val="heading 5"/>
    <w:basedOn w:val="Heading4"/>
    <w:next w:val="Normal"/>
    <w:qFormat/>
    <w:rsid w:val="00161B79"/>
    <w:pPr>
      <w:numPr>
        <w:ilvl w:val="4"/>
      </w:numPr>
      <w:outlineLvl w:val="4"/>
    </w:pPr>
    <w:rPr>
      <w:sz w:val="22"/>
    </w:rPr>
  </w:style>
  <w:style w:type="paragraph" w:styleId="Heading6">
    <w:name w:val="heading 6"/>
    <w:basedOn w:val="H6"/>
    <w:next w:val="Normal"/>
    <w:qFormat/>
    <w:rsid w:val="00161B79"/>
    <w:pPr>
      <w:numPr>
        <w:ilvl w:val="5"/>
      </w:numPr>
      <w:outlineLvl w:val="5"/>
    </w:pPr>
  </w:style>
  <w:style w:type="paragraph" w:styleId="Heading7">
    <w:name w:val="heading 7"/>
    <w:basedOn w:val="H6"/>
    <w:next w:val="Normal"/>
    <w:qFormat/>
    <w:rsid w:val="00161B79"/>
    <w:pPr>
      <w:numPr>
        <w:ilvl w:val="6"/>
      </w:numPr>
      <w:outlineLvl w:val="6"/>
    </w:pPr>
  </w:style>
  <w:style w:type="paragraph" w:styleId="Heading8">
    <w:name w:val="heading 8"/>
    <w:basedOn w:val="Heading1"/>
    <w:next w:val="Normal"/>
    <w:qFormat/>
    <w:rsid w:val="00161B79"/>
    <w:pPr>
      <w:numPr>
        <w:ilvl w:val="7"/>
      </w:numPr>
      <w:outlineLvl w:val="7"/>
    </w:pPr>
  </w:style>
  <w:style w:type="paragraph" w:styleId="Heading9">
    <w:name w:val="heading 9"/>
    <w:basedOn w:val="Heading8"/>
    <w:next w:val="Normal"/>
    <w:qFormat/>
    <w:rsid w:val="00161B79"/>
    <w:pPr>
      <w:numPr>
        <w:ilvl w:val="8"/>
      </w:numPr>
      <w:outlineLvl w:val="8"/>
    </w:pPr>
  </w:style>
  <w:style w:type="character" w:default="1" w:styleId="DefaultParagraphFont">
    <w:name w:val="Default Paragraph Font"/>
    <w:semiHidden/>
    <w:rsid w:val="00161B7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61B79"/>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1B7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61B79"/>
    <w:pPr>
      <w:jc w:val="right"/>
    </w:pPr>
  </w:style>
  <w:style w:type="paragraph" w:customStyle="1" w:styleId="TAL">
    <w:name w:val="TAL"/>
    <w:basedOn w:val="Normal"/>
    <w:rsid w:val="00161B79"/>
    <w:pPr>
      <w:keepNext/>
      <w:keepLines/>
      <w:spacing w:after="0"/>
    </w:pPr>
    <w:rPr>
      <w:rFonts w:ascii="Arial" w:hAnsi="Arial"/>
      <w:sz w:val="18"/>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rPr>
      <w:lang w:val="x-none" w:eastAsia="x-none"/>
    </w:r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rsid w:val="00161B79"/>
    <w:pPr>
      <w:spacing w:after="0"/>
    </w:pPr>
  </w:style>
  <w:style w:type="paragraph" w:customStyle="1" w:styleId="B1">
    <w:name w:val="B1"/>
    <w:basedOn w:val="List"/>
    <w:link w:val="B1Zchn"/>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61B79"/>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rsid w:val="008F0D50"/>
    <w:rPr>
      <w:rFonts w:eastAsia="MS Mincho"/>
      <w:lang w:val="en-GB" w:eastAsia="ja-JP" w:bidi="ar-SA"/>
    </w:rPr>
  </w:style>
  <w:style w:type="character" w:customStyle="1" w:styleId="Heading3Char">
    <w:name w:val="Heading 3 Char"/>
    <w:link w:val="Heading3"/>
    <w:rsid w:val="00603167"/>
    <w:rPr>
      <w:rFonts w:ascii="Arial" w:hAnsi="Arial"/>
      <w:sz w:val="28"/>
      <w:lang w:val="x-none" w:eastAsia="x-none"/>
    </w:rPr>
  </w:style>
  <w:style w:type="character" w:customStyle="1" w:styleId="Heading1Char">
    <w:name w:val="Heading 1 Char"/>
    <w:link w:val="Heading1"/>
    <w:uiPriority w:val="9"/>
    <w:rsid w:val="00AA384B"/>
    <w:rPr>
      <w:rFonts w:ascii="Arial" w:hAnsi="Arial"/>
      <w:sz w:val="36"/>
    </w:rPr>
  </w:style>
  <w:style w:type="character" w:customStyle="1" w:styleId="Heading2Char">
    <w:name w:val="Heading 2 Char"/>
    <w:link w:val="Heading2"/>
    <w:rsid w:val="00004739"/>
    <w:rPr>
      <w:rFonts w:ascii="Arial" w:hAnsi="Arial"/>
      <w:sz w:val="32"/>
      <w:lang w:val="x-none" w:eastAsia="x-none"/>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572652"/>
    <w:pPr>
      <w:spacing w:after="120"/>
      <w:ind w:left="7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rPr>
      <w:lang w:val="en-GB" w:eastAsia="ja-JP"/>
    </w:rPr>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styleId="DarkList-Accent3">
    <w:name w:val="Dark List Accent 3"/>
    <w:hidden/>
    <w:uiPriority w:val="99"/>
    <w:unhideWhenUsed/>
    <w:rsid w:val="00F71CF6"/>
    <w:rPr>
      <w:lang w:val="en-GB"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styleId="ListParagraph">
    <w:name w:val="List Paragraph"/>
    <w:aliases w:val="- Bullets,列出段落,Lista1,?? ??,?????,????"/>
    <w:basedOn w:val="Normal"/>
    <w:link w:val="ListParagraphChar"/>
    <w:uiPriority w:val="34"/>
    <w:qFormat/>
    <w:rsid w:val="00005808"/>
    <w:pPr>
      <w:numPr>
        <w:numId w:val="39"/>
      </w:numPr>
      <w:overflowPunct/>
      <w:autoSpaceDE/>
      <w:autoSpaceDN/>
      <w:adjustRightInd/>
      <w:spacing w:after="160" w:line="256" w:lineRule="auto"/>
      <w:contextualSpacing/>
      <w:textAlignment w:val="auto"/>
    </w:pPr>
    <w:rPr>
      <w:rFonts w:eastAsia="DengXian"/>
      <w:i/>
      <w:lang w:eastAsia="en-US"/>
    </w:rPr>
  </w:style>
  <w:style w:type="paragraph" w:customStyle="1" w:styleId="TDocProposal">
    <w:name w:val="TDoc Proposal"/>
    <w:basedOn w:val="Normal"/>
    <w:next w:val="Normal"/>
    <w:link w:val="TDocProposalChar"/>
    <w:qFormat/>
    <w:rsid w:val="00CD63ED"/>
    <w:pPr>
      <w:numPr>
        <w:numId w:val="27"/>
      </w:numPr>
    </w:pPr>
    <w:rPr>
      <w:b/>
      <w:lang w:val="en-US"/>
    </w:rPr>
  </w:style>
  <w:style w:type="paragraph" w:customStyle="1" w:styleId="TDocObservation">
    <w:name w:val="TDoc Observation"/>
    <w:basedOn w:val="TDocProposal"/>
    <w:link w:val="TDocObservationChar"/>
    <w:qFormat/>
    <w:rsid w:val="00694344"/>
    <w:pPr>
      <w:numPr>
        <w:numId w:val="28"/>
      </w:numPr>
    </w:pPr>
  </w:style>
  <w:style w:type="character" w:customStyle="1" w:styleId="TDocProposalChar">
    <w:name w:val="TDoc Proposal Char"/>
    <w:link w:val="TDocProposal"/>
    <w:rsid w:val="00CD63ED"/>
    <w:rPr>
      <w:b/>
      <w:lang w:val="en-US" w:eastAsia="ja-JP"/>
    </w:rPr>
  </w:style>
  <w:style w:type="paragraph" w:styleId="Bibliography">
    <w:name w:val="Bibliography"/>
    <w:basedOn w:val="Normal"/>
    <w:next w:val="Normal"/>
    <w:uiPriority w:val="72"/>
    <w:unhideWhenUsed/>
    <w:rsid w:val="00536186"/>
  </w:style>
  <w:style w:type="character" w:customStyle="1" w:styleId="TDocObservationChar">
    <w:name w:val="TDoc Observation Char"/>
    <w:basedOn w:val="TDocProposalChar"/>
    <w:link w:val="TDocObservation"/>
    <w:rsid w:val="00694344"/>
    <w:rPr>
      <w:b/>
      <w:lang w:val="en-US" w:eastAsia="ja-JP"/>
    </w:rPr>
  </w:style>
  <w:style w:type="table" w:styleId="TableGrid">
    <w:name w:val="Table Grid"/>
    <w:basedOn w:val="TableNormal"/>
    <w:rsid w:val="006536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4DB6"/>
    <w:rPr>
      <w:rFonts w:ascii="Arial" w:hAnsi="Arial"/>
      <w:b/>
      <w:noProof/>
      <w:sz w:val="18"/>
      <w:lang w:val="en-GB" w:eastAsia="ja-JP"/>
    </w:rPr>
  </w:style>
  <w:style w:type="character" w:customStyle="1" w:styleId="CaptionChar">
    <w:name w:val="Caption Char"/>
    <w:aliases w:val="cap Char,Caption Char1 Char Char1,cap Char Char1 Char1,Caption Char Char1 Char Char1,cap Char2 Char1,条目 Char1,cap Char Char Char Char Char Char Char Char1,Caption Char2 Char,Caption Char Char Char Char,Caption Char Char1 Char1,fighead2 Char"/>
    <w:link w:val="Caption"/>
    <w:rsid w:val="00B84DB6"/>
    <w:rPr>
      <w:rFonts w:eastAsia="MS Mincho"/>
      <w:b/>
      <w:bCs/>
      <w:lang w:val="en-US" w:eastAsia="ja-JP"/>
    </w:rPr>
  </w:style>
  <w:style w:type="character" w:customStyle="1" w:styleId="ListParagraphChar">
    <w:name w:val="List Paragraph Char"/>
    <w:aliases w:val="- Bullets Char,列出段落 Char,Lista1 Char,?? ?? Char,????? Char,???? Char"/>
    <w:link w:val="ListParagraph"/>
    <w:uiPriority w:val="34"/>
    <w:qFormat/>
    <w:locked/>
    <w:rsid w:val="00005808"/>
    <w:rPr>
      <w:rFonts w:eastAsia="DengXian"/>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0249">
      <w:bodyDiv w:val="1"/>
      <w:marLeft w:val="0"/>
      <w:marRight w:val="0"/>
      <w:marTop w:val="0"/>
      <w:marBottom w:val="0"/>
      <w:divBdr>
        <w:top w:val="none" w:sz="0" w:space="0" w:color="auto"/>
        <w:left w:val="none" w:sz="0" w:space="0" w:color="auto"/>
        <w:bottom w:val="none" w:sz="0" w:space="0" w:color="auto"/>
        <w:right w:val="none" w:sz="0" w:space="0" w:color="auto"/>
      </w:divBdr>
    </w:div>
    <w:div w:id="19211952">
      <w:bodyDiv w:val="1"/>
      <w:marLeft w:val="0"/>
      <w:marRight w:val="0"/>
      <w:marTop w:val="0"/>
      <w:marBottom w:val="0"/>
      <w:divBdr>
        <w:top w:val="none" w:sz="0" w:space="0" w:color="auto"/>
        <w:left w:val="none" w:sz="0" w:space="0" w:color="auto"/>
        <w:bottom w:val="none" w:sz="0" w:space="0" w:color="auto"/>
        <w:right w:val="none" w:sz="0" w:space="0" w:color="auto"/>
      </w:divBdr>
    </w:div>
    <w:div w:id="27730094">
      <w:bodyDiv w:val="1"/>
      <w:marLeft w:val="0"/>
      <w:marRight w:val="0"/>
      <w:marTop w:val="0"/>
      <w:marBottom w:val="0"/>
      <w:divBdr>
        <w:top w:val="none" w:sz="0" w:space="0" w:color="auto"/>
        <w:left w:val="none" w:sz="0" w:space="0" w:color="auto"/>
        <w:bottom w:val="none" w:sz="0" w:space="0" w:color="auto"/>
        <w:right w:val="none" w:sz="0" w:space="0" w:color="auto"/>
      </w:divBdr>
    </w:div>
    <w:div w:id="56898017">
      <w:bodyDiv w:val="1"/>
      <w:marLeft w:val="0"/>
      <w:marRight w:val="0"/>
      <w:marTop w:val="0"/>
      <w:marBottom w:val="0"/>
      <w:divBdr>
        <w:top w:val="none" w:sz="0" w:space="0" w:color="auto"/>
        <w:left w:val="none" w:sz="0" w:space="0" w:color="auto"/>
        <w:bottom w:val="none" w:sz="0" w:space="0" w:color="auto"/>
        <w:right w:val="none" w:sz="0" w:space="0" w:color="auto"/>
      </w:divBdr>
    </w:div>
    <w:div w:id="58066740">
      <w:bodyDiv w:val="1"/>
      <w:marLeft w:val="0"/>
      <w:marRight w:val="0"/>
      <w:marTop w:val="0"/>
      <w:marBottom w:val="0"/>
      <w:divBdr>
        <w:top w:val="none" w:sz="0" w:space="0" w:color="auto"/>
        <w:left w:val="none" w:sz="0" w:space="0" w:color="auto"/>
        <w:bottom w:val="none" w:sz="0" w:space="0" w:color="auto"/>
        <w:right w:val="none" w:sz="0" w:space="0" w:color="auto"/>
      </w:divBdr>
    </w:div>
    <w:div w:id="90856227">
      <w:bodyDiv w:val="1"/>
      <w:marLeft w:val="0"/>
      <w:marRight w:val="0"/>
      <w:marTop w:val="0"/>
      <w:marBottom w:val="0"/>
      <w:divBdr>
        <w:top w:val="none" w:sz="0" w:space="0" w:color="auto"/>
        <w:left w:val="none" w:sz="0" w:space="0" w:color="auto"/>
        <w:bottom w:val="none" w:sz="0" w:space="0" w:color="auto"/>
        <w:right w:val="none" w:sz="0" w:space="0" w:color="auto"/>
      </w:divBdr>
    </w:div>
    <w:div w:id="152568719">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96309155">
      <w:bodyDiv w:val="1"/>
      <w:marLeft w:val="0"/>
      <w:marRight w:val="0"/>
      <w:marTop w:val="0"/>
      <w:marBottom w:val="0"/>
      <w:divBdr>
        <w:top w:val="none" w:sz="0" w:space="0" w:color="auto"/>
        <w:left w:val="none" w:sz="0" w:space="0" w:color="auto"/>
        <w:bottom w:val="none" w:sz="0" w:space="0" w:color="auto"/>
        <w:right w:val="none" w:sz="0" w:space="0" w:color="auto"/>
      </w:divBdr>
    </w:div>
    <w:div w:id="207690585">
      <w:bodyDiv w:val="1"/>
      <w:marLeft w:val="0"/>
      <w:marRight w:val="0"/>
      <w:marTop w:val="0"/>
      <w:marBottom w:val="0"/>
      <w:divBdr>
        <w:top w:val="none" w:sz="0" w:space="0" w:color="auto"/>
        <w:left w:val="none" w:sz="0" w:space="0" w:color="auto"/>
        <w:bottom w:val="none" w:sz="0" w:space="0" w:color="auto"/>
        <w:right w:val="none" w:sz="0" w:space="0" w:color="auto"/>
      </w:divBdr>
    </w:div>
    <w:div w:id="221059141">
      <w:bodyDiv w:val="1"/>
      <w:marLeft w:val="0"/>
      <w:marRight w:val="0"/>
      <w:marTop w:val="0"/>
      <w:marBottom w:val="0"/>
      <w:divBdr>
        <w:top w:val="none" w:sz="0" w:space="0" w:color="auto"/>
        <w:left w:val="none" w:sz="0" w:space="0" w:color="auto"/>
        <w:bottom w:val="none" w:sz="0" w:space="0" w:color="auto"/>
        <w:right w:val="none" w:sz="0" w:space="0" w:color="auto"/>
      </w:divBdr>
    </w:div>
    <w:div w:id="272176685">
      <w:bodyDiv w:val="1"/>
      <w:marLeft w:val="0"/>
      <w:marRight w:val="0"/>
      <w:marTop w:val="0"/>
      <w:marBottom w:val="0"/>
      <w:divBdr>
        <w:top w:val="none" w:sz="0" w:space="0" w:color="auto"/>
        <w:left w:val="none" w:sz="0" w:space="0" w:color="auto"/>
        <w:bottom w:val="none" w:sz="0" w:space="0" w:color="auto"/>
        <w:right w:val="none" w:sz="0" w:space="0" w:color="auto"/>
      </w:divBdr>
    </w:div>
    <w:div w:id="279265413">
      <w:bodyDiv w:val="1"/>
      <w:marLeft w:val="0"/>
      <w:marRight w:val="0"/>
      <w:marTop w:val="0"/>
      <w:marBottom w:val="0"/>
      <w:divBdr>
        <w:top w:val="none" w:sz="0" w:space="0" w:color="auto"/>
        <w:left w:val="none" w:sz="0" w:space="0" w:color="auto"/>
        <w:bottom w:val="none" w:sz="0" w:space="0" w:color="auto"/>
        <w:right w:val="none" w:sz="0" w:space="0" w:color="auto"/>
      </w:divBdr>
    </w:div>
    <w:div w:id="290329301">
      <w:bodyDiv w:val="1"/>
      <w:marLeft w:val="0"/>
      <w:marRight w:val="0"/>
      <w:marTop w:val="0"/>
      <w:marBottom w:val="0"/>
      <w:divBdr>
        <w:top w:val="none" w:sz="0" w:space="0" w:color="auto"/>
        <w:left w:val="none" w:sz="0" w:space="0" w:color="auto"/>
        <w:bottom w:val="none" w:sz="0" w:space="0" w:color="auto"/>
        <w:right w:val="none" w:sz="0" w:space="0" w:color="auto"/>
      </w:divBdr>
    </w:div>
    <w:div w:id="331488543">
      <w:bodyDiv w:val="1"/>
      <w:marLeft w:val="0"/>
      <w:marRight w:val="0"/>
      <w:marTop w:val="0"/>
      <w:marBottom w:val="0"/>
      <w:divBdr>
        <w:top w:val="none" w:sz="0" w:space="0" w:color="auto"/>
        <w:left w:val="none" w:sz="0" w:space="0" w:color="auto"/>
        <w:bottom w:val="none" w:sz="0" w:space="0" w:color="auto"/>
        <w:right w:val="none" w:sz="0" w:space="0" w:color="auto"/>
      </w:divBdr>
    </w:div>
    <w:div w:id="332337950">
      <w:bodyDiv w:val="1"/>
      <w:marLeft w:val="0"/>
      <w:marRight w:val="0"/>
      <w:marTop w:val="0"/>
      <w:marBottom w:val="0"/>
      <w:divBdr>
        <w:top w:val="none" w:sz="0" w:space="0" w:color="auto"/>
        <w:left w:val="none" w:sz="0" w:space="0" w:color="auto"/>
        <w:bottom w:val="none" w:sz="0" w:space="0" w:color="auto"/>
        <w:right w:val="none" w:sz="0" w:space="0" w:color="auto"/>
      </w:divBdr>
    </w:div>
    <w:div w:id="341474579">
      <w:bodyDiv w:val="1"/>
      <w:marLeft w:val="0"/>
      <w:marRight w:val="0"/>
      <w:marTop w:val="0"/>
      <w:marBottom w:val="0"/>
      <w:divBdr>
        <w:top w:val="none" w:sz="0" w:space="0" w:color="auto"/>
        <w:left w:val="none" w:sz="0" w:space="0" w:color="auto"/>
        <w:bottom w:val="none" w:sz="0" w:space="0" w:color="auto"/>
        <w:right w:val="none" w:sz="0" w:space="0" w:color="auto"/>
      </w:divBdr>
    </w:div>
    <w:div w:id="355890919">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91663088">
      <w:bodyDiv w:val="1"/>
      <w:marLeft w:val="0"/>
      <w:marRight w:val="0"/>
      <w:marTop w:val="0"/>
      <w:marBottom w:val="0"/>
      <w:divBdr>
        <w:top w:val="none" w:sz="0" w:space="0" w:color="auto"/>
        <w:left w:val="none" w:sz="0" w:space="0" w:color="auto"/>
        <w:bottom w:val="none" w:sz="0" w:space="0" w:color="auto"/>
        <w:right w:val="none" w:sz="0" w:space="0" w:color="auto"/>
      </w:divBdr>
    </w:div>
    <w:div w:id="396441076">
      <w:bodyDiv w:val="1"/>
      <w:marLeft w:val="0"/>
      <w:marRight w:val="0"/>
      <w:marTop w:val="0"/>
      <w:marBottom w:val="0"/>
      <w:divBdr>
        <w:top w:val="none" w:sz="0" w:space="0" w:color="auto"/>
        <w:left w:val="none" w:sz="0" w:space="0" w:color="auto"/>
        <w:bottom w:val="none" w:sz="0" w:space="0" w:color="auto"/>
        <w:right w:val="none" w:sz="0" w:space="0" w:color="auto"/>
      </w:divBdr>
    </w:div>
    <w:div w:id="398134090">
      <w:bodyDiv w:val="1"/>
      <w:marLeft w:val="0"/>
      <w:marRight w:val="0"/>
      <w:marTop w:val="0"/>
      <w:marBottom w:val="0"/>
      <w:divBdr>
        <w:top w:val="none" w:sz="0" w:space="0" w:color="auto"/>
        <w:left w:val="none" w:sz="0" w:space="0" w:color="auto"/>
        <w:bottom w:val="none" w:sz="0" w:space="0" w:color="auto"/>
        <w:right w:val="none" w:sz="0" w:space="0" w:color="auto"/>
      </w:divBdr>
    </w:div>
    <w:div w:id="424813559">
      <w:bodyDiv w:val="1"/>
      <w:marLeft w:val="0"/>
      <w:marRight w:val="0"/>
      <w:marTop w:val="0"/>
      <w:marBottom w:val="0"/>
      <w:divBdr>
        <w:top w:val="none" w:sz="0" w:space="0" w:color="auto"/>
        <w:left w:val="none" w:sz="0" w:space="0" w:color="auto"/>
        <w:bottom w:val="none" w:sz="0" w:space="0" w:color="auto"/>
        <w:right w:val="none" w:sz="0" w:space="0" w:color="auto"/>
      </w:divBdr>
    </w:div>
    <w:div w:id="456333032">
      <w:bodyDiv w:val="1"/>
      <w:marLeft w:val="0"/>
      <w:marRight w:val="0"/>
      <w:marTop w:val="0"/>
      <w:marBottom w:val="0"/>
      <w:divBdr>
        <w:top w:val="none" w:sz="0" w:space="0" w:color="auto"/>
        <w:left w:val="none" w:sz="0" w:space="0" w:color="auto"/>
        <w:bottom w:val="none" w:sz="0" w:space="0" w:color="auto"/>
        <w:right w:val="none" w:sz="0" w:space="0" w:color="auto"/>
      </w:divBdr>
    </w:div>
    <w:div w:id="511526646">
      <w:bodyDiv w:val="1"/>
      <w:marLeft w:val="0"/>
      <w:marRight w:val="0"/>
      <w:marTop w:val="0"/>
      <w:marBottom w:val="0"/>
      <w:divBdr>
        <w:top w:val="none" w:sz="0" w:space="0" w:color="auto"/>
        <w:left w:val="none" w:sz="0" w:space="0" w:color="auto"/>
        <w:bottom w:val="none" w:sz="0" w:space="0" w:color="auto"/>
        <w:right w:val="none" w:sz="0" w:space="0" w:color="auto"/>
      </w:divBdr>
    </w:div>
    <w:div w:id="517549586">
      <w:bodyDiv w:val="1"/>
      <w:marLeft w:val="0"/>
      <w:marRight w:val="0"/>
      <w:marTop w:val="0"/>
      <w:marBottom w:val="0"/>
      <w:divBdr>
        <w:top w:val="none" w:sz="0" w:space="0" w:color="auto"/>
        <w:left w:val="none" w:sz="0" w:space="0" w:color="auto"/>
        <w:bottom w:val="none" w:sz="0" w:space="0" w:color="auto"/>
        <w:right w:val="none" w:sz="0" w:space="0" w:color="auto"/>
      </w:divBdr>
    </w:div>
    <w:div w:id="523711830">
      <w:bodyDiv w:val="1"/>
      <w:marLeft w:val="0"/>
      <w:marRight w:val="0"/>
      <w:marTop w:val="0"/>
      <w:marBottom w:val="0"/>
      <w:divBdr>
        <w:top w:val="none" w:sz="0" w:space="0" w:color="auto"/>
        <w:left w:val="none" w:sz="0" w:space="0" w:color="auto"/>
        <w:bottom w:val="none" w:sz="0" w:space="0" w:color="auto"/>
        <w:right w:val="none" w:sz="0" w:space="0" w:color="auto"/>
      </w:divBdr>
    </w:div>
    <w:div w:id="525947686">
      <w:bodyDiv w:val="1"/>
      <w:marLeft w:val="0"/>
      <w:marRight w:val="0"/>
      <w:marTop w:val="0"/>
      <w:marBottom w:val="0"/>
      <w:divBdr>
        <w:top w:val="none" w:sz="0" w:space="0" w:color="auto"/>
        <w:left w:val="none" w:sz="0" w:space="0" w:color="auto"/>
        <w:bottom w:val="none" w:sz="0" w:space="0" w:color="auto"/>
        <w:right w:val="none" w:sz="0" w:space="0" w:color="auto"/>
      </w:divBdr>
    </w:div>
    <w:div w:id="5417459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48228471">
      <w:bodyDiv w:val="1"/>
      <w:marLeft w:val="0"/>
      <w:marRight w:val="0"/>
      <w:marTop w:val="0"/>
      <w:marBottom w:val="0"/>
      <w:divBdr>
        <w:top w:val="none" w:sz="0" w:space="0" w:color="auto"/>
        <w:left w:val="none" w:sz="0" w:space="0" w:color="auto"/>
        <w:bottom w:val="none" w:sz="0" w:space="0" w:color="auto"/>
        <w:right w:val="none" w:sz="0" w:space="0" w:color="auto"/>
      </w:divBdr>
    </w:div>
    <w:div w:id="551893756">
      <w:bodyDiv w:val="1"/>
      <w:marLeft w:val="0"/>
      <w:marRight w:val="0"/>
      <w:marTop w:val="0"/>
      <w:marBottom w:val="0"/>
      <w:divBdr>
        <w:top w:val="none" w:sz="0" w:space="0" w:color="auto"/>
        <w:left w:val="none" w:sz="0" w:space="0" w:color="auto"/>
        <w:bottom w:val="none" w:sz="0" w:space="0" w:color="auto"/>
        <w:right w:val="none" w:sz="0" w:space="0" w:color="auto"/>
      </w:divBdr>
    </w:div>
    <w:div w:id="564683384">
      <w:bodyDiv w:val="1"/>
      <w:marLeft w:val="0"/>
      <w:marRight w:val="0"/>
      <w:marTop w:val="0"/>
      <w:marBottom w:val="0"/>
      <w:divBdr>
        <w:top w:val="none" w:sz="0" w:space="0" w:color="auto"/>
        <w:left w:val="none" w:sz="0" w:space="0" w:color="auto"/>
        <w:bottom w:val="none" w:sz="0" w:space="0" w:color="auto"/>
        <w:right w:val="none" w:sz="0" w:space="0" w:color="auto"/>
      </w:divBdr>
    </w:div>
    <w:div w:id="573051356">
      <w:bodyDiv w:val="1"/>
      <w:marLeft w:val="0"/>
      <w:marRight w:val="0"/>
      <w:marTop w:val="0"/>
      <w:marBottom w:val="0"/>
      <w:divBdr>
        <w:top w:val="none" w:sz="0" w:space="0" w:color="auto"/>
        <w:left w:val="none" w:sz="0" w:space="0" w:color="auto"/>
        <w:bottom w:val="none" w:sz="0" w:space="0" w:color="auto"/>
        <w:right w:val="none" w:sz="0" w:space="0" w:color="auto"/>
      </w:divBdr>
    </w:div>
    <w:div w:id="57790334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594283766">
      <w:bodyDiv w:val="1"/>
      <w:marLeft w:val="0"/>
      <w:marRight w:val="0"/>
      <w:marTop w:val="0"/>
      <w:marBottom w:val="0"/>
      <w:divBdr>
        <w:top w:val="none" w:sz="0" w:space="0" w:color="auto"/>
        <w:left w:val="none" w:sz="0" w:space="0" w:color="auto"/>
        <w:bottom w:val="none" w:sz="0" w:space="0" w:color="auto"/>
        <w:right w:val="none" w:sz="0" w:space="0" w:color="auto"/>
      </w:divBdr>
    </w:div>
    <w:div w:id="598296720">
      <w:bodyDiv w:val="1"/>
      <w:marLeft w:val="0"/>
      <w:marRight w:val="0"/>
      <w:marTop w:val="0"/>
      <w:marBottom w:val="0"/>
      <w:divBdr>
        <w:top w:val="none" w:sz="0" w:space="0" w:color="auto"/>
        <w:left w:val="none" w:sz="0" w:space="0" w:color="auto"/>
        <w:bottom w:val="none" w:sz="0" w:space="0" w:color="auto"/>
        <w:right w:val="none" w:sz="0" w:space="0" w:color="auto"/>
      </w:divBdr>
    </w:div>
    <w:div w:id="600145465">
      <w:bodyDiv w:val="1"/>
      <w:marLeft w:val="0"/>
      <w:marRight w:val="0"/>
      <w:marTop w:val="0"/>
      <w:marBottom w:val="0"/>
      <w:divBdr>
        <w:top w:val="none" w:sz="0" w:space="0" w:color="auto"/>
        <w:left w:val="none" w:sz="0" w:space="0" w:color="auto"/>
        <w:bottom w:val="none" w:sz="0" w:space="0" w:color="auto"/>
        <w:right w:val="none" w:sz="0" w:space="0" w:color="auto"/>
      </w:divBdr>
    </w:div>
    <w:div w:id="612639920">
      <w:bodyDiv w:val="1"/>
      <w:marLeft w:val="0"/>
      <w:marRight w:val="0"/>
      <w:marTop w:val="0"/>
      <w:marBottom w:val="0"/>
      <w:divBdr>
        <w:top w:val="none" w:sz="0" w:space="0" w:color="auto"/>
        <w:left w:val="none" w:sz="0" w:space="0" w:color="auto"/>
        <w:bottom w:val="none" w:sz="0" w:space="0" w:color="auto"/>
        <w:right w:val="none" w:sz="0" w:space="0" w:color="auto"/>
      </w:divBdr>
    </w:div>
    <w:div w:id="617028953">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52294026">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686830389">
      <w:bodyDiv w:val="1"/>
      <w:marLeft w:val="0"/>
      <w:marRight w:val="0"/>
      <w:marTop w:val="0"/>
      <w:marBottom w:val="0"/>
      <w:divBdr>
        <w:top w:val="none" w:sz="0" w:space="0" w:color="auto"/>
        <w:left w:val="none" w:sz="0" w:space="0" w:color="auto"/>
        <w:bottom w:val="none" w:sz="0" w:space="0" w:color="auto"/>
        <w:right w:val="none" w:sz="0" w:space="0" w:color="auto"/>
      </w:divBdr>
    </w:div>
    <w:div w:id="695422233">
      <w:bodyDiv w:val="1"/>
      <w:marLeft w:val="0"/>
      <w:marRight w:val="0"/>
      <w:marTop w:val="0"/>
      <w:marBottom w:val="0"/>
      <w:divBdr>
        <w:top w:val="none" w:sz="0" w:space="0" w:color="auto"/>
        <w:left w:val="none" w:sz="0" w:space="0" w:color="auto"/>
        <w:bottom w:val="none" w:sz="0" w:space="0" w:color="auto"/>
        <w:right w:val="none" w:sz="0" w:space="0" w:color="auto"/>
      </w:divBdr>
    </w:div>
    <w:div w:id="705568619">
      <w:bodyDiv w:val="1"/>
      <w:marLeft w:val="0"/>
      <w:marRight w:val="0"/>
      <w:marTop w:val="0"/>
      <w:marBottom w:val="0"/>
      <w:divBdr>
        <w:top w:val="none" w:sz="0" w:space="0" w:color="auto"/>
        <w:left w:val="none" w:sz="0" w:space="0" w:color="auto"/>
        <w:bottom w:val="none" w:sz="0" w:space="0" w:color="auto"/>
        <w:right w:val="none" w:sz="0" w:space="0" w:color="auto"/>
      </w:divBdr>
    </w:div>
    <w:div w:id="710034737">
      <w:bodyDiv w:val="1"/>
      <w:marLeft w:val="0"/>
      <w:marRight w:val="0"/>
      <w:marTop w:val="0"/>
      <w:marBottom w:val="0"/>
      <w:divBdr>
        <w:top w:val="none" w:sz="0" w:space="0" w:color="auto"/>
        <w:left w:val="none" w:sz="0" w:space="0" w:color="auto"/>
        <w:bottom w:val="none" w:sz="0" w:space="0" w:color="auto"/>
        <w:right w:val="none" w:sz="0" w:space="0" w:color="auto"/>
      </w:divBdr>
    </w:div>
    <w:div w:id="730688860">
      <w:bodyDiv w:val="1"/>
      <w:marLeft w:val="0"/>
      <w:marRight w:val="0"/>
      <w:marTop w:val="0"/>
      <w:marBottom w:val="0"/>
      <w:divBdr>
        <w:top w:val="none" w:sz="0" w:space="0" w:color="auto"/>
        <w:left w:val="none" w:sz="0" w:space="0" w:color="auto"/>
        <w:bottom w:val="none" w:sz="0" w:space="0" w:color="auto"/>
        <w:right w:val="none" w:sz="0" w:space="0" w:color="auto"/>
      </w:divBdr>
    </w:div>
    <w:div w:id="731582865">
      <w:bodyDiv w:val="1"/>
      <w:marLeft w:val="0"/>
      <w:marRight w:val="0"/>
      <w:marTop w:val="0"/>
      <w:marBottom w:val="0"/>
      <w:divBdr>
        <w:top w:val="none" w:sz="0" w:space="0" w:color="auto"/>
        <w:left w:val="none" w:sz="0" w:space="0" w:color="auto"/>
        <w:bottom w:val="none" w:sz="0" w:space="0" w:color="auto"/>
        <w:right w:val="none" w:sz="0" w:space="0" w:color="auto"/>
      </w:divBdr>
    </w:div>
    <w:div w:id="743188557">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789857450">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6412481">
      <w:bodyDiv w:val="1"/>
      <w:marLeft w:val="0"/>
      <w:marRight w:val="0"/>
      <w:marTop w:val="0"/>
      <w:marBottom w:val="0"/>
      <w:divBdr>
        <w:top w:val="none" w:sz="0" w:space="0" w:color="auto"/>
        <w:left w:val="none" w:sz="0" w:space="0" w:color="auto"/>
        <w:bottom w:val="none" w:sz="0" w:space="0" w:color="auto"/>
        <w:right w:val="none" w:sz="0" w:space="0" w:color="auto"/>
      </w:divBdr>
    </w:div>
    <w:div w:id="817309294">
      <w:bodyDiv w:val="1"/>
      <w:marLeft w:val="0"/>
      <w:marRight w:val="0"/>
      <w:marTop w:val="0"/>
      <w:marBottom w:val="0"/>
      <w:divBdr>
        <w:top w:val="none" w:sz="0" w:space="0" w:color="auto"/>
        <w:left w:val="none" w:sz="0" w:space="0" w:color="auto"/>
        <w:bottom w:val="none" w:sz="0" w:space="0" w:color="auto"/>
        <w:right w:val="none" w:sz="0" w:space="0" w:color="auto"/>
      </w:divBdr>
    </w:div>
    <w:div w:id="826938226">
      <w:bodyDiv w:val="1"/>
      <w:marLeft w:val="0"/>
      <w:marRight w:val="0"/>
      <w:marTop w:val="0"/>
      <w:marBottom w:val="0"/>
      <w:divBdr>
        <w:top w:val="none" w:sz="0" w:space="0" w:color="auto"/>
        <w:left w:val="none" w:sz="0" w:space="0" w:color="auto"/>
        <w:bottom w:val="none" w:sz="0" w:space="0" w:color="auto"/>
        <w:right w:val="none" w:sz="0" w:space="0" w:color="auto"/>
      </w:divBdr>
      <w:divsChild>
        <w:div w:id="145977166">
          <w:marLeft w:val="0"/>
          <w:marRight w:val="0"/>
          <w:marTop w:val="0"/>
          <w:marBottom w:val="0"/>
          <w:divBdr>
            <w:top w:val="none" w:sz="0" w:space="0" w:color="auto"/>
            <w:left w:val="none" w:sz="0" w:space="0" w:color="auto"/>
            <w:bottom w:val="none" w:sz="0" w:space="0" w:color="auto"/>
            <w:right w:val="none" w:sz="0" w:space="0" w:color="auto"/>
          </w:divBdr>
        </w:div>
      </w:divsChild>
    </w:div>
    <w:div w:id="832138304">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65600571">
      <w:bodyDiv w:val="1"/>
      <w:marLeft w:val="0"/>
      <w:marRight w:val="0"/>
      <w:marTop w:val="0"/>
      <w:marBottom w:val="0"/>
      <w:divBdr>
        <w:top w:val="none" w:sz="0" w:space="0" w:color="auto"/>
        <w:left w:val="none" w:sz="0" w:space="0" w:color="auto"/>
        <w:bottom w:val="none" w:sz="0" w:space="0" w:color="auto"/>
        <w:right w:val="none" w:sz="0" w:space="0" w:color="auto"/>
      </w:divBdr>
    </w:div>
    <w:div w:id="867454046">
      <w:bodyDiv w:val="1"/>
      <w:marLeft w:val="0"/>
      <w:marRight w:val="0"/>
      <w:marTop w:val="0"/>
      <w:marBottom w:val="0"/>
      <w:divBdr>
        <w:top w:val="none" w:sz="0" w:space="0" w:color="auto"/>
        <w:left w:val="none" w:sz="0" w:space="0" w:color="auto"/>
        <w:bottom w:val="none" w:sz="0" w:space="0" w:color="auto"/>
        <w:right w:val="none" w:sz="0" w:space="0" w:color="auto"/>
      </w:divBdr>
    </w:div>
    <w:div w:id="873081484">
      <w:bodyDiv w:val="1"/>
      <w:marLeft w:val="0"/>
      <w:marRight w:val="0"/>
      <w:marTop w:val="0"/>
      <w:marBottom w:val="0"/>
      <w:divBdr>
        <w:top w:val="none" w:sz="0" w:space="0" w:color="auto"/>
        <w:left w:val="none" w:sz="0" w:space="0" w:color="auto"/>
        <w:bottom w:val="none" w:sz="0" w:space="0" w:color="auto"/>
        <w:right w:val="none" w:sz="0" w:space="0" w:color="auto"/>
      </w:divBdr>
    </w:div>
    <w:div w:id="892233748">
      <w:bodyDiv w:val="1"/>
      <w:marLeft w:val="0"/>
      <w:marRight w:val="0"/>
      <w:marTop w:val="0"/>
      <w:marBottom w:val="0"/>
      <w:divBdr>
        <w:top w:val="none" w:sz="0" w:space="0" w:color="auto"/>
        <w:left w:val="none" w:sz="0" w:space="0" w:color="auto"/>
        <w:bottom w:val="none" w:sz="0" w:space="0" w:color="auto"/>
        <w:right w:val="none" w:sz="0" w:space="0" w:color="auto"/>
      </w:divBdr>
    </w:div>
    <w:div w:id="89378236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16062379">
      <w:bodyDiv w:val="1"/>
      <w:marLeft w:val="0"/>
      <w:marRight w:val="0"/>
      <w:marTop w:val="0"/>
      <w:marBottom w:val="0"/>
      <w:divBdr>
        <w:top w:val="none" w:sz="0" w:space="0" w:color="auto"/>
        <w:left w:val="none" w:sz="0" w:space="0" w:color="auto"/>
        <w:bottom w:val="none" w:sz="0" w:space="0" w:color="auto"/>
        <w:right w:val="none" w:sz="0" w:space="0" w:color="auto"/>
      </w:divBdr>
    </w:div>
    <w:div w:id="918832971">
      <w:bodyDiv w:val="1"/>
      <w:marLeft w:val="0"/>
      <w:marRight w:val="0"/>
      <w:marTop w:val="0"/>
      <w:marBottom w:val="0"/>
      <w:divBdr>
        <w:top w:val="none" w:sz="0" w:space="0" w:color="auto"/>
        <w:left w:val="none" w:sz="0" w:space="0" w:color="auto"/>
        <w:bottom w:val="none" w:sz="0" w:space="0" w:color="auto"/>
        <w:right w:val="none" w:sz="0" w:space="0" w:color="auto"/>
      </w:divBdr>
    </w:div>
    <w:div w:id="922488640">
      <w:bodyDiv w:val="1"/>
      <w:marLeft w:val="0"/>
      <w:marRight w:val="0"/>
      <w:marTop w:val="0"/>
      <w:marBottom w:val="0"/>
      <w:divBdr>
        <w:top w:val="none" w:sz="0" w:space="0" w:color="auto"/>
        <w:left w:val="none" w:sz="0" w:space="0" w:color="auto"/>
        <w:bottom w:val="none" w:sz="0" w:space="0" w:color="auto"/>
        <w:right w:val="none" w:sz="0" w:space="0" w:color="auto"/>
      </w:divBdr>
    </w:div>
    <w:div w:id="923147847">
      <w:bodyDiv w:val="1"/>
      <w:marLeft w:val="0"/>
      <w:marRight w:val="0"/>
      <w:marTop w:val="0"/>
      <w:marBottom w:val="0"/>
      <w:divBdr>
        <w:top w:val="none" w:sz="0" w:space="0" w:color="auto"/>
        <w:left w:val="none" w:sz="0" w:space="0" w:color="auto"/>
        <w:bottom w:val="none" w:sz="0" w:space="0" w:color="auto"/>
        <w:right w:val="none" w:sz="0" w:space="0" w:color="auto"/>
      </w:divBdr>
    </w:div>
    <w:div w:id="945311462">
      <w:bodyDiv w:val="1"/>
      <w:marLeft w:val="0"/>
      <w:marRight w:val="0"/>
      <w:marTop w:val="0"/>
      <w:marBottom w:val="0"/>
      <w:divBdr>
        <w:top w:val="none" w:sz="0" w:space="0" w:color="auto"/>
        <w:left w:val="none" w:sz="0" w:space="0" w:color="auto"/>
        <w:bottom w:val="none" w:sz="0" w:space="0" w:color="auto"/>
        <w:right w:val="none" w:sz="0" w:space="0" w:color="auto"/>
      </w:divBdr>
    </w:div>
    <w:div w:id="947614770">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65890379">
      <w:bodyDiv w:val="1"/>
      <w:marLeft w:val="0"/>
      <w:marRight w:val="0"/>
      <w:marTop w:val="0"/>
      <w:marBottom w:val="0"/>
      <w:divBdr>
        <w:top w:val="none" w:sz="0" w:space="0" w:color="auto"/>
        <w:left w:val="none" w:sz="0" w:space="0" w:color="auto"/>
        <w:bottom w:val="none" w:sz="0" w:space="0" w:color="auto"/>
        <w:right w:val="none" w:sz="0" w:space="0" w:color="auto"/>
      </w:divBdr>
    </w:div>
    <w:div w:id="97086240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3684360">
      <w:bodyDiv w:val="1"/>
      <w:marLeft w:val="0"/>
      <w:marRight w:val="0"/>
      <w:marTop w:val="0"/>
      <w:marBottom w:val="0"/>
      <w:divBdr>
        <w:top w:val="none" w:sz="0" w:space="0" w:color="auto"/>
        <w:left w:val="none" w:sz="0" w:space="0" w:color="auto"/>
        <w:bottom w:val="none" w:sz="0" w:space="0" w:color="auto"/>
        <w:right w:val="none" w:sz="0" w:space="0" w:color="auto"/>
      </w:divBdr>
    </w:div>
    <w:div w:id="994186483">
      <w:bodyDiv w:val="1"/>
      <w:marLeft w:val="0"/>
      <w:marRight w:val="0"/>
      <w:marTop w:val="0"/>
      <w:marBottom w:val="0"/>
      <w:divBdr>
        <w:top w:val="none" w:sz="0" w:space="0" w:color="auto"/>
        <w:left w:val="none" w:sz="0" w:space="0" w:color="auto"/>
        <w:bottom w:val="none" w:sz="0" w:space="0" w:color="auto"/>
        <w:right w:val="none" w:sz="0" w:space="0" w:color="auto"/>
      </w:divBdr>
    </w:div>
    <w:div w:id="995960606">
      <w:bodyDiv w:val="1"/>
      <w:marLeft w:val="0"/>
      <w:marRight w:val="0"/>
      <w:marTop w:val="0"/>
      <w:marBottom w:val="0"/>
      <w:divBdr>
        <w:top w:val="none" w:sz="0" w:space="0" w:color="auto"/>
        <w:left w:val="none" w:sz="0" w:space="0" w:color="auto"/>
        <w:bottom w:val="none" w:sz="0" w:space="0" w:color="auto"/>
        <w:right w:val="none" w:sz="0" w:space="0" w:color="auto"/>
      </w:divBdr>
    </w:div>
    <w:div w:id="997534691">
      <w:bodyDiv w:val="1"/>
      <w:marLeft w:val="0"/>
      <w:marRight w:val="0"/>
      <w:marTop w:val="0"/>
      <w:marBottom w:val="0"/>
      <w:divBdr>
        <w:top w:val="none" w:sz="0" w:space="0" w:color="auto"/>
        <w:left w:val="none" w:sz="0" w:space="0" w:color="auto"/>
        <w:bottom w:val="none" w:sz="0" w:space="0" w:color="auto"/>
        <w:right w:val="none" w:sz="0" w:space="0" w:color="auto"/>
      </w:divBdr>
    </w:div>
    <w:div w:id="1027365673">
      <w:bodyDiv w:val="1"/>
      <w:marLeft w:val="0"/>
      <w:marRight w:val="0"/>
      <w:marTop w:val="0"/>
      <w:marBottom w:val="0"/>
      <w:divBdr>
        <w:top w:val="none" w:sz="0" w:space="0" w:color="auto"/>
        <w:left w:val="none" w:sz="0" w:space="0" w:color="auto"/>
        <w:bottom w:val="none" w:sz="0" w:space="0" w:color="auto"/>
        <w:right w:val="none" w:sz="0" w:space="0" w:color="auto"/>
      </w:divBdr>
    </w:div>
    <w:div w:id="1066761380">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12551077">
      <w:bodyDiv w:val="1"/>
      <w:marLeft w:val="0"/>
      <w:marRight w:val="0"/>
      <w:marTop w:val="0"/>
      <w:marBottom w:val="0"/>
      <w:divBdr>
        <w:top w:val="none" w:sz="0" w:space="0" w:color="auto"/>
        <w:left w:val="none" w:sz="0" w:space="0" w:color="auto"/>
        <w:bottom w:val="none" w:sz="0" w:space="0" w:color="auto"/>
        <w:right w:val="none" w:sz="0" w:space="0" w:color="auto"/>
      </w:divBdr>
    </w:div>
    <w:div w:id="1119683997">
      <w:bodyDiv w:val="1"/>
      <w:marLeft w:val="0"/>
      <w:marRight w:val="0"/>
      <w:marTop w:val="0"/>
      <w:marBottom w:val="0"/>
      <w:divBdr>
        <w:top w:val="none" w:sz="0" w:space="0" w:color="auto"/>
        <w:left w:val="none" w:sz="0" w:space="0" w:color="auto"/>
        <w:bottom w:val="none" w:sz="0" w:space="0" w:color="auto"/>
        <w:right w:val="none" w:sz="0" w:space="0" w:color="auto"/>
      </w:divBdr>
    </w:div>
    <w:div w:id="1134710325">
      <w:bodyDiv w:val="1"/>
      <w:marLeft w:val="0"/>
      <w:marRight w:val="0"/>
      <w:marTop w:val="0"/>
      <w:marBottom w:val="0"/>
      <w:divBdr>
        <w:top w:val="none" w:sz="0" w:space="0" w:color="auto"/>
        <w:left w:val="none" w:sz="0" w:space="0" w:color="auto"/>
        <w:bottom w:val="none" w:sz="0" w:space="0" w:color="auto"/>
        <w:right w:val="none" w:sz="0" w:space="0" w:color="auto"/>
      </w:divBdr>
    </w:div>
    <w:div w:id="1183939295">
      <w:bodyDiv w:val="1"/>
      <w:marLeft w:val="0"/>
      <w:marRight w:val="0"/>
      <w:marTop w:val="0"/>
      <w:marBottom w:val="0"/>
      <w:divBdr>
        <w:top w:val="none" w:sz="0" w:space="0" w:color="auto"/>
        <w:left w:val="none" w:sz="0" w:space="0" w:color="auto"/>
        <w:bottom w:val="none" w:sz="0" w:space="0" w:color="auto"/>
        <w:right w:val="none" w:sz="0" w:space="0" w:color="auto"/>
      </w:divBdr>
    </w:div>
    <w:div w:id="1193110911">
      <w:bodyDiv w:val="1"/>
      <w:marLeft w:val="0"/>
      <w:marRight w:val="0"/>
      <w:marTop w:val="0"/>
      <w:marBottom w:val="0"/>
      <w:divBdr>
        <w:top w:val="none" w:sz="0" w:space="0" w:color="auto"/>
        <w:left w:val="none" w:sz="0" w:space="0" w:color="auto"/>
        <w:bottom w:val="none" w:sz="0" w:space="0" w:color="auto"/>
        <w:right w:val="none" w:sz="0" w:space="0" w:color="auto"/>
      </w:divBdr>
    </w:div>
    <w:div w:id="1202471843">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166992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0499471">
      <w:bodyDiv w:val="1"/>
      <w:marLeft w:val="0"/>
      <w:marRight w:val="0"/>
      <w:marTop w:val="0"/>
      <w:marBottom w:val="0"/>
      <w:divBdr>
        <w:top w:val="none" w:sz="0" w:space="0" w:color="auto"/>
        <w:left w:val="none" w:sz="0" w:space="0" w:color="auto"/>
        <w:bottom w:val="none" w:sz="0" w:space="0" w:color="auto"/>
        <w:right w:val="none" w:sz="0" w:space="0" w:color="auto"/>
      </w:divBdr>
    </w:div>
    <w:div w:id="1258295610">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261642809">
      <w:bodyDiv w:val="1"/>
      <w:marLeft w:val="0"/>
      <w:marRight w:val="0"/>
      <w:marTop w:val="0"/>
      <w:marBottom w:val="0"/>
      <w:divBdr>
        <w:top w:val="none" w:sz="0" w:space="0" w:color="auto"/>
        <w:left w:val="none" w:sz="0" w:space="0" w:color="auto"/>
        <w:bottom w:val="none" w:sz="0" w:space="0" w:color="auto"/>
        <w:right w:val="none" w:sz="0" w:space="0" w:color="auto"/>
      </w:divBdr>
    </w:div>
    <w:div w:id="1265386909">
      <w:bodyDiv w:val="1"/>
      <w:marLeft w:val="0"/>
      <w:marRight w:val="0"/>
      <w:marTop w:val="0"/>
      <w:marBottom w:val="0"/>
      <w:divBdr>
        <w:top w:val="none" w:sz="0" w:space="0" w:color="auto"/>
        <w:left w:val="none" w:sz="0" w:space="0" w:color="auto"/>
        <w:bottom w:val="none" w:sz="0" w:space="0" w:color="auto"/>
        <w:right w:val="none" w:sz="0" w:space="0" w:color="auto"/>
      </w:divBdr>
    </w:div>
    <w:div w:id="1300915462">
      <w:bodyDiv w:val="1"/>
      <w:marLeft w:val="0"/>
      <w:marRight w:val="0"/>
      <w:marTop w:val="0"/>
      <w:marBottom w:val="0"/>
      <w:divBdr>
        <w:top w:val="none" w:sz="0" w:space="0" w:color="auto"/>
        <w:left w:val="none" w:sz="0" w:space="0" w:color="auto"/>
        <w:bottom w:val="none" w:sz="0" w:space="0" w:color="auto"/>
        <w:right w:val="none" w:sz="0" w:space="0" w:color="auto"/>
      </w:divBdr>
    </w:div>
    <w:div w:id="1305164164">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18606841">
      <w:bodyDiv w:val="1"/>
      <w:marLeft w:val="0"/>
      <w:marRight w:val="0"/>
      <w:marTop w:val="0"/>
      <w:marBottom w:val="0"/>
      <w:divBdr>
        <w:top w:val="none" w:sz="0" w:space="0" w:color="auto"/>
        <w:left w:val="none" w:sz="0" w:space="0" w:color="auto"/>
        <w:bottom w:val="none" w:sz="0" w:space="0" w:color="auto"/>
        <w:right w:val="none" w:sz="0" w:space="0" w:color="auto"/>
      </w:divBdr>
    </w:div>
    <w:div w:id="1325624449">
      <w:bodyDiv w:val="1"/>
      <w:marLeft w:val="0"/>
      <w:marRight w:val="0"/>
      <w:marTop w:val="0"/>
      <w:marBottom w:val="0"/>
      <w:divBdr>
        <w:top w:val="none" w:sz="0" w:space="0" w:color="auto"/>
        <w:left w:val="none" w:sz="0" w:space="0" w:color="auto"/>
        <w:bottom w:val="none" w:sz="0" w:space="0" w:color="auto"/>
        <w:right w:val="none" w:sz="0" w:space="0" w:color="auto"/>
      </w:divBdr>
    </w:div>
    <w:div w:id="1329600301">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58655126">
      <w:bodyDiv w:val="1"/>
      <w:marLeft w:val="0"/>
      <w:marRight w:val="0"/>
      <w:marTop w:val="0"/>
      <w:marBottom w:val="0"/>
      <w:divBdr>
        <w:top w:val="none" w:sz="0" w:space="0" w:color="auto"/>
        <w:left w:val="none" w:sz="0" w:space="0" w:color="auto"/>
        <w:bottom w:val="none" w:sz="0" w:space="0" w:color="auto"/>
        <w:right w:val="none" w:sz="0" w:space="0" w:color="auto"/>
      </w:divBdr>
    </w:div>
    <w:div w:id="1361124515">
      <w:bodyDiv w:val="1"/>
      <w:marLeft w:val="0"/>
      <w:marRight w:val="0"/>
      <w:marTop w:val="0"/>
      <w:marBottom w:val="0"/>
      <w:divBdr>
        <w:top w:val="none" w:sz="0" w:space="0" w:color="auto"/>
        <w:left w:val="none" w:sz="0" w:space="0" w:color="auto"/>
        <w:bottom w:val="none" w:sz="0" w:space="0" w:color="auto"/>
        <w:right w:val="none" w:sz="0" w:space="0" w:color="auto"/>
      </w:divBdr>
    </w:div>
    <w:div w:id="1368140625">
      <w:bodyDiv w:val="1"/>
      <w:marLeft w:val="0"/>
      <w:marRight w:val="0"/>
      <w:marTop w:val="0"/>
      <w:marBottom w:val="0"/>
      <w:divBdr>
        <w:top w:val="none" w:sz="0" w:space="0" w:color="auto"/>
        <w:left w:val="none" w:sz="0" w:space="0" w:color="auto"/>
        <w:bottom w:val="none" w:sz="0" w:space="0" w:color="auto"/>
        <w:right w:val="none" w:sz="0" w:space="0" w:color="auto"/>
      </w:divBdr>
    </w:div>
    <w:div w:id="1376270979">
      <w:bodyDiv w:val="1"/>
      <w:marLeft w:val="0"/>
      <w:marRight w:val="0"/>
      <w:marTop w:val="0"/>
      <w:marBottom w:val="0"/>
      <w:divBdr>
        <w:top w:val="none" w:sz="0" w:space="0" w:color="auto"/>
        <w:left w:val="none" w:sz="0" w:space="0" w:color="auto"/>
        <w:bottom w:val="none" w:sz="0" w:space="0" w:color="auto"/>
        <w:right w:val="none" w:sz="0" w:space="0" w:color="auto"/>
      </w:divBdr>
    </w:div>
    <w:div w:id="1381595539">
      <w:bodyDiv w:val="1"/>
      <w:marLeft w:val="0"/>
      <w:marRight w:val="0"/>
      <w:marTop w:val="0"/>
      <w:marBottom w:val="0"/>
      <w:divBdr>
        <w:top w:val="none" w:sz="0" w:space="0" w:color="auto"/>
        <w:left w:val="none" w:sz="0" w:space="0" w:color="auto"/>
        <w:bottom w:val="none" w:sz="0" w:space="0" w:color="auto"/>
        <w:right w:val="none" w:sz="0" w:space="0" w:color="auto"/>
      </w:divBdr>
    </w:div>
    <w:div w:id="1389919236">
      <w:bodyDiv w:val="1"/>
      <w:marLeft w:val="0"/>
      <w:marRight w:val="0"/>
      <w:marTop w:val="0"/>
      <w:marBottom w:val="0"/>
      <w:divBdr>
        <w:top w:val="none" w:sz="0" w:space="0" w:color="auto"/>
        <w:left w:val="none" w:sz="0" w:space="0" w:color="auto"/>
        <w:bottom w:val="none" w:sz="0" w:space="0" w:color="auto"/>
        <w:right w:val="none" w:sz="0" w:space="0" w:color="auto"/>
      </w:divBdr>
    </w:div>
    <w:div w:id="1412241575">
      <w:bodyDiv w:val="1"/>
      <w:marLeft w:val="0"/>
      <w:marRight w:val="0"/>
      <w:marTop w:val="0"/>
      <w:marBottom w:val="0"/>
      <w:divBdr>
        <w:top w:val="none" w:sz="0" w:space="0" w:color="auto"/>
        <w:left w:val="none" w:sz="0" w:space="0" w:color="auto"/>
        <w:bottom w:val="none" w:sz="0" w:space="0" w:color="auto"/>
        <w:right w:val="none" w:sz="0" w:space="0" w:color="auto"/>
      </w:divBdr>
    </w:div>
    <w:div w:id="1488859315">
      <w:bodyDiv w:val="1"/>
      <w:marLeft w:val="0"/>
      <w:marRight w:val="0"/>
      <w:marTop w:val="0"/>
      <w:marBottom w:val="0"/>
      <w:divBdr>
        <w:top w:val="none" w:sz="0" w:space="0" w:color="auto"/>
        <w:left w:val="none" w:sz="0" w:space="0" w:color="auto"/>
        <w:bottom w:val="none" w:sz="0" w:space="0" w:color="auto"/>
        <w:right w:val="none" w:sz="0" w:space="0" w:color="auto"/>
      </w:divBdr>
    </w:div>
    <w:div w:id="1502501815">
      <w:bodyDiv w:val="1"/>
      <w:marLeft w:val="0"/>
      <w:marRight w:val="0"/>
      <w:marTop w:val="0"/>
      <w:marBottom w:val="0"/>
      <w:divBdr>
        <w:top w:val="none" w:sz="0" w:space="0" w:color="auto"/>
        <w:left w:val="none" w:sz="0" w:space="0" w:color="auto"/>
        <w:bottom w:val="none" w:sz="0" w:space="0" w:color="auto"/>
        <w:right w:val="none" w:sz="0" w:space="0" w:color="auto"/>
      </w:divBdr>
    </w:div>
    <w:div w:id="1517306851">
      <w:bodyDiv w:val="1"/>
      <w:marLeft w:val="0"/>
      <w:marRight w:val="0"/>
      <w:marTop w:val="0"/>
      <w:marBottom w:val="0"/>
      <w:divBdr>
        <w:top w:val="none" w:sz="0" w:space="0" w:color="auto"/>
        <w:left w:val="none" w:sz="0" w:space="0" w:color="auto"/>
        <w:bottom w:val="none" w:sz="0" w:space="0" w:color="auto"/>
        <w:right w:val="none" w:sz="0" w:space="0" w:color="auto"/>
      </w:divBdr>
    </w:div>
    <w:div w:id="1520243690">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35583268">
      <w:bodyDiv w:val="1"/>
      <w:marLeft w:val="0"/>
      <w:marRight w:val="0"/>
      <w:marTop w:val="0"/>
      <w:marBottom w:val="0"/>
      <w:divBdr>
        <w:top w:val="none" w:sz="0" w:space="0" w:color="auto"/>
        <w:left w:val="none" w:sz="0" w:space="0" w:color="auto"/>
        <w:bottom w:val="none" w:sz="0" w:space="0" w:color="auto"/>
        <w:right w:val="none" w:sz="0" w:space="0" w:color="auto"/>
      </w:divBdr>
    </w:div>
    <w:div w:id="1538664754">
      <w:bodyDiv w:val="1"/>
      <w:marLeft w:val="0"/>
      <w:marRight w:val="0"/>
      <w:marTop w:val="0"/>
      <w:marBottom w:val="0"/>
      <w:divBdr>
        <w:top w:val="none" w:sz="0" w:space="0" w:color="auto"/>
        <w:left w:val="none" w:sz="0" w:space="0" w:color="auto"/>
        <w:bottom w:val="none" w:sz="0" w:space="0" w:color="auto"/>
        <w:right w:val="none" w:sz="0" w:space="0" w:color="auto"/>
      </w:divBdr>
    </w:div>
    <w:div w:id="1543712060">
      <w:bodyDiv w:val="1"/>
      <w:marLeft w:val="0"/>
      <w:marRight w:val="0"/>
      <w:marTop w:val="0"/>
      <w:marBottom w:val="0"/>
      <w:divBdr>
        <w:top w:val="none" w:sz="0" w:space="0" w:color="auto"/>
        <w:left w:val="none" w:sz="0" w:space="0" w:color="auto"/>
        <w:bottom w:val="none" w:sz="0" w:space="0" w:color="auto"/>
        <w:right w:val="none" w:sz="0" w:space="0" w:color="auto"/>
      </w:divBdr>
    </w:div>
    <w:div w:id="1556896398">
      <w:bodyDiv w:val="1"/>
      <w:marLeft w:val="0"/>
      <w:marRight w:val="0"/>
      <w:marTop w:val="0"/>
      <w:marBottom w:val="0"/>
      <w:divBdr>
        <w:top w:val="none" w:sz="0" w:space="0" w:color="auto"/>
        <w:left w:val="none" w:sz="0" w:space="0" w:color="auto"/>
        <w:bottom w:val="none" w:sz="0" w:space="0" w:color="auto"/>
        <w:right w:val="none" w:sz="0" w:space="0" w:color="auto"/>
      </w:divBdr>
    </w:div>
    <w:div w:id="1574125345">
      <w:bodyDiv w:val="1"/>
      <w:marLeft w:val="0"/>
      <w:marRight w:val="0"/>
      <w:marTop w:val="0"/>
      <w:marBottom w:val="0"/>
      <w:divBdr>
        <w:top w:val="none" w:sz="0" w:space="0" w:color="auto"/>
        <w:left w:val="none" w:sz="0" w:space="0" w:color="auto"/>
        <w:bottom w:val="none" w:sz="0" w:space="0" w:color="auto"/>
        <w:right w:val="none" w:sz="0" w:space="0" w:color="auto"/>
      </w:divBdr>
    </w:div>
    <w:div w:id="1574704818">
      <w:bodyDiv w:val="1"/>
      <w:marLeft w:val="0"/>
      <w:marRight w:val="0"/>
      <w:marTop w:val="0"/>
      <w:marBottom w:val="0"/>
      <w:divBdr>
        <w:top w:val="none" w:sz="0" w:space="0" w:color="auto"/>
        <w:left w:val="none" w:sz="0" w:space="0" w:color="auto"/>
        <w:bottom w:val="none" w:sz="0" w:space="0" w:color="auto"/>
        <w:right w:val="none" w:sz="0" w:space="0" w:color="auto"/>
      </w:divBdr>
    </w:div>
    <w:div w:id="1583101055">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04190807">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9818400">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6182360">
      <w:bodyDiv w:val="1"/>
      <w:marLeft w:val="0"/>
      <w:marRight w:val="0"/>
      <w:marTop w:val="0"/>
      <w:marBottom w:val="0"/>
      <w:divBdr>
        <w:top w:val="none" w:sz="0" w:space="0" w:color="auto"/>
        <w:left w:val="none" w:sz="0" w:space="0" w:color="auto"/>
        <w:bottom w:val="none" w:sz="0" w:space="0" w:color="auto"/>
        <w:right w:val="none" w:sz="0" w:space="0" w:color="auto"/>
      </w:divBdr>
    </w:div>
    <w:div w:id="1657566682">
      <w:bodyDiv w:val="1"/>
      <w:marLeft w:val="0"/>
      <w:marRight w:val="0"/>
      <w:marTop w:val="0"/>
      <w:marBottom w:val="0"/>
      <w:divBdr>
        <w:top w:val="none" w:sz="0" w:space="0" w:color="auto"/>
        <w:left w:val="none" w:sz="0" w:space="0" w:color="auto"/>
        <w:bottom w:val="none" w:sz="0" w:space="0" w:color="auto"/>
        <w:right w:val="none" w:sz="0" w:space="0" w:color="auto"/>
      </w:divBdr>
    </w:div>
    <w:div w:id="1660690451">
      <w:bodyDiv w:val="1"/>
      <w:marLeft w:val="0"/>
      <w:marRight w:val="0"/>
      <w:marTop w:val="0"/>
      <w:marBottom w:val="0"/>
      <w:divBdr>
        <w:top w:val="none" w:sz="0" w:space="0" w:color="auto"/>
        <w:left w:val="none" w:sz="0" w:space="0" w:color="auto"/>
        <w:bottom w:val="none" w:sz="0" w:space="0" w:color="auto"/>
        <w:right w:val="none" w:sz="0" w:space="0" w:color="auto"/>
      </w:divBdr>
    </w:div>
    <w:div w:id="1696080547">
      <w:bodyDiv w:val="1"/>
      <w:marLeft w:val="0"/>
      <w:marRight w:val="0"/>
      <w:marTop w:val="0"/>
      <w:marBottom w:val="0"/>
      <w:divBdr>
        <w:top w:val="none" w:sz="0" w:space="0" w:color="auto"/>
        <w:left w:val="none" w:sz="0" w:space="0" w:color="auto"/>
        <w:bottom w:val="none" w:sz="0" w:space="0" w:color="auto"/>
        <w:right w:val="none" w:sz="0" w:space="0" w:color="auto"/>
      </w:divBdr>
    </w:div>
    <w:div w:id="1697385911">
      <w:bodyDiv w:val="1"/>
      <w:marLeft w:val="0"/>
      <w:marRight w:val="0"/>
      <w:marTop w:val="0"/>
      <w:marBottom w:val="0"/>
      <w:divBdr>
        <w:top w:val="none" w:sz="0" w:space="0" w:color="auto"/>
        <w:left w:val="none" w:sz="0" w:space="0" w:color="auto"/>
        <w:bottom w:val="none" w:sz="0" w:space="0" w:color="auto"/>
        <w:right w:val="none" w:sz="0" w:space="0" w:color="auto"/>
      </w:divBdr>
    </w:div>
    <w:div w:id="1699545422">
      <w:bodyDiv w:val="1"/>
      <w:marLeft w:val="0"/>
      <w:marRight w:val="0"/>
      <w:marTop w:val="0"/>
      <w:marBottom w:val="0"/>
      <w:divBdr>
        <w:top w:val="none" w:sz="0" w:space="0" w:color="auto"/>
        <w:left w:val="none" w:sz="0" w:space="0" w:color="auto"/>
        <w:bottom w:val="none" w:sz="0" w:space="0" w:color="auto"/>
        <w:right w:val="none" w:sz="0" w:space="0" w:color="auto"/>
      </w:divBdr>
    </w:div>
    <w:div w:id="1716586549">
      <w:bodyDiv w:val="1"/>
      <w:marLeft w:val="0"/>
      <w:marRight w:val="0"/>
      <w:marTop w:val="0"/>
      <w:marBottom w:val="0"/>
      <w:divBdr>
        <w:top w:val="none" w:sz="0" w:space="0" w:color="auto"/>
        <w:left w:val="none" w:sz="0" w:space="0" w:color="auto"/>
        <w:bottom w:val="none" w:sz="0" w:space="0" w:color="auto"/>
        <w:right w:val="none" w:sz="0" w:space="0" w:color="auto"/>
      </w:divBdr>
    </w:div>
    <w:div w:id="1723752116">
      <w:bodyDiv w:val="1"/>
      <w:marLeft w:val="0"/>
      <w:marRight w:val="0"/>
      <w:marTop w:val="0"/>
      <w:marBottom w:val="0"/>
      <w:divBdr>
        <w:top w:val="none" w:sz="0" w:space="0" w:color="auto"/>
        <w:left w:val="none" w:sz="0" w:space="0" w:color="auto"/>
        <w:bottom w:val="none" w:sz="0" w:space="0" w:color="auto"/>
        <w:right w:val="none" w:sz="0" w:space="0" w:color="auto"/>
      </w:divBdr>
    </w:div>
    <w:div w:id="1729105555">
      <w:bodyDiv w:val="1"/>
      <w:marLeft w:val="0"/>
      <w:marRight w:val="0"/>
      <w:marTop w:val="0"/>
      <w:marBottom w:val="0"/>
      <w:divBdr>
        <w:top w:val="none" w:sz="0" w:space="0" w:color="auto"/>
        <w:left w:val="none" w:sz="0" w:space="0" w:color="auto"/>
        <w:bottom w:val="none" w:sz="0" w:space="0" w:color="auto"/>
        <w:right w:val="none" w:sz="0" w:space="0" w:color="auto"/>
      </w:divBdr>
    </w:div>
    <w:div w:id="1738741215">
      <w:bodyDiv w:val="1"/>
      <w:marLeft w:val="0"/>
      <w:marRight w:val="0"/>
      <w:marTop w:val="0"/>
      <w:marBottom w:val="0"/>
      <w:divBdr>
        <w:top w:val="none" w:sz="0" w:space="0" w:color="auto"/>
        <w:left w:val="none" w:sz="0" w:space="0" w:color="auto"/>
        <w:bottom w:val="none" w:sz="0" w:space="0" w:color="auto"/>
        <w:right w:val="none" w:sz="0" w:space="0" w:color="auto"/>
      </w:divBdr>
    </w:div>
    <w:div w:id="1745570163">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54620258">
      <w:bodyDiv w:val="1"/>
      <w:marLeft w:val="0"/>
      <w:marRight w:val="0"/>
      <w:marTop w:val="0"/>
      <w:marBottom w:val="0"/>
      <w:divBdr>
        <w:top w:val="none" w:sz="0" w:space="0" w:color="auto"/>
        <w:left w:val="none" w:sz="0" w:space="0" w:color="auto"/>
        <w:bottom w:val="none" w:sz="0" w:space="0" w:color="auto"/>
        <w:right w:val="none" w:sz="0" w:space="0" w:color="auto"/>
      </w:divBdr>
    </w:div>
    <w:div w:id="1812092171">
      <w:bodyDiv w:val="1"/>
      <w:marLeft w:val="0"/>
      <w:marRight w:val="0"/>
      <w:marTop w:val="0"/>
      <w:marBottom w:val="0"/>
      <w:divBdr>
        <w:top w:val="none" w:sz="0" w:space="0" w:color="auto"/>
        <w:left w:val="none" w:sz="0" w:space="0" w:color="auto"/>
        <w:bottom w:val="none" w:sz="0" w:space="0" w:color="auto"/>
        <w:right w:val="none" w:sz="0" w:space="0" w:color="auto"/>
      </w:divBdr>
    </w:div>
    <w:div w:id="1831095889">
      <w:bodyDiv w:val="1"/>
      <w:marLeft w:val="0"/>
      <w:marRight w:val="0"/>
      <w:marTop w:val="0"/>
      <w:marBottom w:val="0"/>
      <w:divBdr>
        <w:top w:val="none" w:sz="0" w:space="0" w:color="auto"/>
        <w:left w:val="none" w:sz="0" w:space="0" w:color="auto"/>
        <w:bottom w:val="none" w:sz="0" w:space="0" w:color="auto"/>
        <w:right w:val="none" w:sz="0" w:space="0" w:color="auto"/>
      </w:divBdr>
    </w:div>
    <w:div w:id="1836216960">
      <w:bodyDiv w:val="1"/>
      <w:marLeft w:val="0"/>
      <w:marRight w:val="0"/>
      <w:marTop w:val="0"/>
      <w:marBottom w:val="0"/>
      <w:divBdr>
        <w:top w:val="none" w:sz="0" w:space="0" w:color="auto"/>
        <w:left w:val="none" w:sz="0" w:space="0" w:color="auto"/>
        <w:bottom w:val="none" w:sz="0" w:space="0" w:color="auto"/>
        <w:right w:val="none" w:sz="0" w:space="0" w:color="auto"/>
      </w:divBdr>
    </w:div>
    <w:div w:id="1839807429">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61973427">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894458505">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17275947">
      <w:bodyDiv w:val="1"/>
      <w:marLeft w:val="0"/>
      <w:marRight w:val="0"/>
      <w:marTop w:val="0"/>
      <w:marBottom w:val="0"/>
      <w:divBdr>
        <w:top w:val="none" w:sz="0" w:space="0" w:color="auto"/>
        <w:left w:val="none" w:sz="0" w:space="0" w:color="auto"/>
        <w:bottom w:val="none" w:sz="0" w:space="0" w:color="auto"/>
        <w:right w:val="none" w:sz="0" w:space="0" w:color="auto"/>
      </w:divBdr>
    </w:div>
    <w:div w:id="1948417247">
      <w:bodyDiv w:val="1"/>
      <w:marLeft w:val="0"/>
      <w:marRight w:val="0"/>
      <w:marTop w:val="0"/>
      <w:marBottom w:val="0"/>
      <w:divBdr>
        <w:top w:val="none" w:sz="0" w:space="0" w:color="auto"/>
        <w:left w:val="none" w:sz="0" w:space="0" w:color="auto"/>
        <w:bottom w:val="none" w:sz="0" w:space="0" w:color="auto"/>
        <w:right w:val="none" w:sz="0" w:space="0" w:color="auto"/>
      </w:divBdr>
    </w:div>
    <w:div w:id="1948611766">
      <w:bodyDiv w:val="1"/>
      <w:marLeft w:val="0"/>
      <w:marRight w:val="0"/>
      <w:marTop w:val="0"/>
      <w:marBottom w:val="0"/>
      <w:divBdr>
        <w:top w:val="none" w:sz="0" w:space="0" w:color="auto"/>
        <w:left w:val="none" w:sz="0" w:space="0" w:color="auto"/>
        <w:bottom w:val="none" w:sz="0" w:space="0" w:color="auto"/>
        <w:right w:val="none" w:sz="0" w:space="0" w:color="auto"/>
      </w:divBdr>
    </w:div>
    <w:div w:id="1960181763">
      <w:bodyDiv w:val="1"/>
      <w:marLeft w:val="0"/>
      <w:marRight w:val="0"/>
      <w:marTop w:val="0"/>
      <w:marBottom w:val="0"/>
      <w:divBdr>
        <w:top w:val="none" w:sz="0" w:space="0" w:color="auto"/>
        <w:left w:val="none" w:sz="0" w:space="0" w:color="auto"/>
        <w:bottom w:val="none" w:sz="0" w:space="0" w:color="auto"/>
        <w:right w:val="none" w:sz="0" w:space="0" w:color="auto"/>
      </w:divBdr>
    </w:div>
    <w:div w:id="1964727148">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1973517494">
      <w:bodyDiv w:val="1"/>
      <w:marLeft w:val="0"/>
      <w:marRight w:val="0"/>
      <w:marTop w:val="0"/>
      <w:marBottom w:val="0"/>
      <w:divBdr>
        <w:top w:val="none" w:sz="0" w:space="0" w:color="auto"/>
        <w:left w:val="none" w:sz="0" w:space="0" w:color="auto"/>
        <w:bottom w:val="none" w:sz="0" w:space="0" w:color="auto"/>
        <w:right w:val="none" w:sz="0" w:space="0" w:color="auto"/>
      </w:divBdr>
    </w:div>
    <w:div w:id="1986428024">
      <w:bodyDiv w:val="1"/>
      <w:marLeft w:val="0"/>
      <w:marRight w:val="0"/>
      <w:marTop w:val="0"/>
      <w:marBottom w:val="0"/>
      <w:divBdr>
        <w:top w:val="none" w:sz="0" w:space="0" w:color="auto"/>
        <w:left w:val="none" w:sz="0" w:space="0" w:color="auto"/>
        <w:bottom w:val="none" w:sz="0" w:space="0" w:color="auto"/>
        <w:right w:val="none" w:sz="0" w:space="0" w:color="auto"/>
      </w:divBdr>
    </w:div>
    <w:div w:id="1999845100">
      <w:bodyDiv w:val="1"/>
      <w:marLeft w:val="0"/>
      <w:marRight w:val="0"/>
      <w:marTop w:val="0"/>
      <w:marBottom w:val="0"/>
      <w:divBdr>
        <w:top w:val="none" w:sz="0" w:space="0" w:color="auto"/>
        <w:left w:val="none" w:sz="0" w:space="0" w:color="auto"/>
        <w:bottom w:val="none" w:sz="0" w:space="0" w:color="auto"/>
        <w:right w:val="none" w:sz="0" w:space="0" w:color="auto"/>
      </w:divBdr>
    </w:div>
    <w:div w:id="2012171426">
      <w:bodyDiv w:val="1"/>
      <w:marLeft w:val="0"/>
      <w:marRight w:val="0"/>
      <w:marTop w:val="0"/>
      <w:marBottom w:val="0"/>
      <w:divBdr>
        <w:top w:val="none" w:sz="0" w:space="0" w:color="auto"/>
        <w:left w:val="none" w:sz="0" w:space="0" w:color="auto"/>
        <w:bottom w:val="none" w:sz="0" w:space="0" w:color="auto"/>
        <w:right w:val="none" w:sz="0" w:space="0" w:color="auto"/>
      </w:divBdr>
    </w:div>
    <w:div w:id="2013869846">
      <w:bodyDiv w:val="1"/>
      <w:marLeft w:val="0"/>
      <w:marRight w:val="0"/>
      <w:marTop w:val="0"/>
      <w:marBottom w:val="0"/>
      <w:divBdr>
        <w:top w:val="none" w:sz="0" w:space="0" w:color="auto"/>
        <w:left w:val="none" w:sz="0" w:space="0" w:color="auto"/>
        <w:bottom w:val="none" w:sz="0" w:space="0" w:color="auto"/>
        <w:right w:val="none" w:sz="0" w:space="0" w:color="auto"/>
      </w:divBdr>
    </w:div>
    <w:div w:id="2016303546">
      <w:bodyDiv w:val="1"/>
      <w:marLeft w:val="0"/>
      <w:marRight w:val="0"/>
      <w:marTop w:val="0"/>
      <w:marBottom w:val="0"/>
      <w:divBdr>
        <w:top w:val="none" w:sz="0" w:space="0" w:color="auto"/>
        <w:left w:val="none" w:sz="0" w:space="0" w:color="auto"/>
        <w:bottom w:val="none" w:sz="0" w:space="0" w:color="auto"/>
        <w:right w:val="none" w:sz="0" w:space="0" w:color="auto"/>
      </w:divBdr>
    </w:div>
    <w:div w:id="2021077385">
      <w:bodyDiv w:val="1"/>
      <w:marLeft w:val="0"/>
      <w:marRight w:val="0"/>
      <w:marTop w:val="0"/>
      <w:marBottom w:val="0"/>
      <w:divBdr>
        <w:top w:val="none" w:sz="0" w:space="0" w:color="auto"/>
        <w:left w:val="none" w:sz="0" w:space="0" w:color="auto"/>
        <w:bottom w:val="none" w:sz="0" w:space="0" w:color="auto"/>
        <w:right w:val="none" w:sz="0" w:space="0" w:color="auto"/>
      </w:divBdr>
    </w:div>
    <w:div w:id="2022900759">
      <w:bodyDiv w:val="1"/>
      <w:marLeft w:val="0"/>
      <w:marRight w:val="0"/>
      <w:marTop w:val="0"/>
      <w:marBottom w:val="0"/>
      <w:divBdr>
        <w:top w:val="none" w:sz="0" w:space="0" w:color="auto"/>
        <w:left w:val="none" w:sz="0" w:space="0" w:color="auto"/>
        <w:bottom w:val="none" w:sz="0" w:space="0" w:color="auto"/>
        <w:right w:val="none" w:sz="0" w:space="0" w:color="auto"/>
      </w:divBdr>
    </w:div>
    <w:div w:id="2023587367">
      <w:bodyDiv w:val="1"/>
      <w:marLeft w:val="0"/>
      <w:marRight w:val="0"/>
      <w:marTop w:val="0"/>
      <w:marBottom w:val="0"/>
      <w:divBdr>
        <w:top w:val="none" w:sz="0" w:space="0" w:color="auto"/>
        <w:left w:val="none" w:sz="0" w:space="0" w:color="auto"/>
        <w:bottom w:val="none" w:sz="0" w:space="0" w:color="auto"/>
        <w:right w:val="none" w:sz="0" w:space="0" w:color="auto"/>
      </w:divBdr>
    </w:div>
    <w:div w:id="2048796177">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73503333">
      <w:bodyDiv w:val="1"/>
      <w:marLeft w:val="0"/>
      <w:marRight w:val="0"/>
      <w:marTop w:val="0"/>
      <w:marBottom w:val="0"/>
      <w:divBdr>
        <w:top w:val="none" w:sz="0" w:space="0" w:color="auto"/>
        <w:left w:val="none" w:sz="0" w:space="0" w:color="auto"/>
        <w:bottom w:val="none" w:sz="0" w:space="0" w:color="auto"/>
        <w:right w:val="none" w:sz="0" w:space="0" w:color="auto"/>
      </w:divBdr>
    </w:div>
    <w:div w:id="2079983717">
      <w:bodyDiv w:val="1"/>
      <w:marLeft w:val="0"/>
      <w:marRight w:val="0"/>
      <w:marTop w:val="0"/>
      <w:marBottom w:val="0"/>
      <w:divBdr>
        <w:top w:val="none" w:sz="0" w:space="0" w:color="auto"/>
        <w:left w:val="none" w:sz="0" w:space="0" w:color="auto"/>
        <w:bottom w:val="none" w:sz="0" w:space="0" w:color="auto"/>
        <w:right w:val="none" w:sz="0" w:space="0" w:color="auto"/>
      </w:divBdr>
    </w:div>
    <w:div w:id="2102992579">
      <w:bodyDiv w:val="1"/>
      <w:marLeft w:val="0"/>
      <w:marRight w:val="0"/>
      <w:marTop w:val="0"/>
      <w:marBottom w:val="0"/>
      <w:divBdr>
        <w:top w:val="none" w:sz="0" w:space="0" w:color="auto"/>
        <w:left w:val="none" w:sz="0" w:space="0" w:color="auto"/>
        <w:bottom w:val="none" w:sz="0" w:space="0" w:color="auto"/>
        <w:right w:val="none" w:sz="0" w:space="0" w:color="auto"/>
      </w:divBdr>
    </w:div>
    <w:div w:id="2113278812">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4191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RP181674</b:Tag>
    <b:SourceType>Report</b:SourceType>
    <b:Guid>{72779882-3D8E-474D-B654-AD777CB877ED}</b:Guid>
    <b:Title>RP-181878: "WID: Additional MTC enhancements for LTE"</b:Title>
    <b:RefOrder>1</b:RefOrder>
  </b:Source>
  <b:Source>
    <b:Tag>R11</b:Tag>
    <b:SourceType>Report</b:SourceType>
    <b:Guid>{D8CBEBA4-C39D-4DC4-8257-0E8D6D9F4738}</b:Guid>
    <b:Title>R1-1809521: "Summary of 6.2.1.1 UE group MWUS"</b:Title>
    <b:RefOrder>3</b:RefOrder>
  </b:Source>
  <b:Source>
    <b:Tag>RP181873</b:Tag>
    <b:SourceType>Report</b:SourceType>
    <b:Guid>{1862752E-1EAD-4FE9-95B8-5B1353B85E41}</b:Guid>
    <b:Title>RP-181873: "Status Report to TSG - Additional MTC enhancements for LTE"</b:Title>
    <b:RefOrder>2</b:RefOrder>
  </b:Source>
</b:Sources>
</file>

<file path=customXml/itemProps1.xml><?xml version="1.0" encoding="utf-8"?>
<ds:datastoreItem xmlns:ds="http://schemas.openxmlformats.org/officeDocument/2006/customXml" ds:itemID="{CA840C01-5AF1-4606-98F9-ADC25EC8C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1020</Words>
  <Characters>5308</Characters>
  <Application>Microsoft Office Word</Application>
  <DocSecurity>0</DocSecurity>
  <Lines>87</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2018-09-28T16:05:00Z</dcterms:created>
  <dcterms:modified xsi:type="dcterms:W3CDTF">2018-09-28T16:05:00Z</dcterms:modified>
</cp:coreProperties>
</file>